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134"/>
        <w:gridCol w:w="1276"/>
        <w:gridCol w:w="1419"/>
        <w:gridCol w:w="1134"/>
        <w:gridCol w:w="2693"/>
        <w:gridCol w:w="1416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215843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20.10.2021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разрушение  технической панели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15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29.11.2021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Ил-76ТД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RA-76846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 № 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216702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02.12.2021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VQ-BGX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срабатывание сигнализации о дыме в отсеке авионики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217242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29.12.2021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VP-BFH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системы управления закрылками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3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01.05.2022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>
                <w:lang w:val="en-US"/>
              </w:rPr>
              <w:t>A-32</w:t>
            </w: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RA-73703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09.05.2022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блока концентратора данных EIU-100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222882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25.05.2022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09.06.2022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Сверхлегкий самолет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RA-0765A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437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223383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19.06.2022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223426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21.06.2022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RA-73724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 буксировке повреждение передней опоры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398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27.06.2022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некорректная работа САРД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473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223581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29.06.2022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RA-73719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30.06.2022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RA-73796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навигационной системы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223683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04.07.2022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>
                <w:lang w:val="en-US"/>
              </w:rPr>
              <w:t>B757</w:t>
            </w:r>
            <w:r>
              <w:rPr/>
              <w:t>-200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гидравлической системы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08.07.2022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RA-73834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рассогласование инерциальных систем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223923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16.07.2022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RA-73834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«голубой» гидросистемы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26.07.2022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RA-73227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WSTRW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1ed0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2c1ed0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LibreOffice/7.2.4.1$Linux_X86_64 LibreOffice_project/27d75539669ac387bb498e35313b970b7fe9c4f9</Application>
  <AppVersion>15.0000</AppVersion>
  <Pages>1</Pages>
  <Words>185</Words>
  <Characters>1344</Characters>
  <CharactersWithSpaces>1402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2023-01-12T10:54:00Z</dcterms:created>
  <dc:creator>Бывалина Кристина</dc:creator>
  <dc:description/>
  <dc:language>ru-RU</dc:language>
  <cp:lastModifiedBy/>
  <dcterms:modified xsi:type="dcterms:W3CDTF">2023-01-16T14:42:12Z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