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527" w:rsidRDefault="00110527">
      <w:pPr>
        <w:pStyle w:val="ConsPlusNormal"/>
        <w:jc w:val="both"/>
        <w:outlineLvl w:val="0"/>
      </w:pPr>
    </w:p>
    <w:p w:rsidR="00110527" w:rsidRDefault="00110527">
      <w:pPr>
        <w:pStyle w:val="ConsPlusTitle"/>
        <w:jc w:val="center"/>
      </w:pPr>
      <w:r>
        <w:t>ПРАВИТЕЛЬСТВО РОССИЙСКОЙ ФЕДЕРАЦИИ</w:t>
      </w:r>
    </w:p>
    <w:p w:rsidR="00110527" w:rsidRDefault="00110527">
      <w:pPr>
        <w:pStyle w:val="ConsPlusTitle"/>
        <w:jc w:val="center"/>
      </w:pPr>
    </w:p>
    <w:p w:rsidR="00110527" w:rsidRDefault="00110527">
      <w:pPr>
        <w:pStyle w:val="ConsPlusTitle"/>
        <w:jc w:val="center"/>
      </w:pPr>
      <w:r>
        <w:t>ПОСТАНОВЛЕНИЕ</w:t>
      </w:r>
    </w:p>
    <w:p w:rsidR="00110527" w:rsidRDefault="00110527">
      <w:pPr>
        <w:pStyle w:val="ConsPlusTitle"/>
        <w:jc w:val="center"/>
      </w:pPr>
      <w:r>
        <w:t>от 19 марта 2022 г. N 411</w:t>
      </w:r>
    </w:p>
    <w:p w:rsidR="00110527" w:rsidRDefault="00110527">
      <w:pPr>
        <w:pStyle w:val="ConsPlusTitle"/>
        <w:jc w:val="center"/>
      </w:pPr>
    </w:p>
    <w:p w:rsidR="00110527" w:rsidRDefault="00110527">
      <w:pPr>
        <w:pStyle w:val="ConsPlusTitle"/>
        <w:jc w:val="center"/>
      </w:pPr>
      <w:r>
        <w:t>ОБ ОСОБЕННОСТЯХ</w:t>
      </w:r>
    </w:p>
    <w:p w:rsidR="00110527" w:rsidRDefault="00110527">
      <w:pPr>
        <w:pStyle w:val="ConsPlusTitle"/>
        <w:jc w:val="center"/>
      </w:pPr>
      <w:r>
        <w:t>ГОСУДАРСТВЕННОЙ РЕГИСТРАЦИИ ПРЕДНАЗНАЧЕННЫХ ДЛЯ ВЫПОЛНЕНИЯ</w:t>
      </w:r>
    </w:p>
    <w:p w:rsidR="00110527" w:rsidRDefault="00110527">
      <w:pPr>
        <w:pStyle w:val="ConsPlusTitle"/>
        <w:jc w:val="center"/>
      </w:pPr>
      <w:r>
        <w:t>ПОЛЕТОВ ГРАЖДАНСКИХ ВОЗДУШНЫХ СУДОВ В ГОСУДАРСТВЕННОМ</w:t>
      </w:r>
    </w:p>
    <w:p w:rsidR="00110527" w:rsidRDefault="00110527">
      <w:pPr>
        <w:pStyle w:val="ConsPlusTitle"/>
        <w:jc w:val="center"/>
      </w:pPr>
      <w:r>
        <w:t>РЕЕСТРЕ ГРАЖДАНСКИХ ВОЗДУШНЫХ СУДОВ РОССИЙСКОЙ ФЕДЕРАЦИИ</w:t>
      </w:r>
    </w:p>
    <w:p w:rsidR="00110527" w:rsidRDefault="00110527">
      <w:pPr>
        <w:pStyle w:val="ConsPlusTitle"/>
        <w:jc w:val="center"/>
      </w:pPr>
      <w:r>
        <w:t>И ГОСУДАРСТВЕННОЙ РЕГИСТРАЦИИ ПРАВ</w:t>
      </w:r>
    </w:p>
    <w:p w:rsidR="00110527" w:rsidRDefault="00110527">
      <w:pPr>
        <w:pStyle w:val="ConsPlusTitle"/>
        <w:jc w:val="center"/>
      </w:pPr>
      <w:r>
        <w:t>НА ВОЗДУШНЫЕ СУДА И СДЕЛОК С НИМИ</w:t>
      </w:r>
    </w:p>
    <w:p w:rsidR="00110527" w:rsidRDefault="00110527">
      <w:pPr>
        <w:pStyle w:val="ConsPlusNormal"/>
      </w:pPr>
    </w:p>
    <w:tbl>
      <w:tblPr>
        <w:tblW w:w="5000" w:type="pct"/>
        <w:tblCellMar>
          <w:left w:w="0" w:type="dxa"/>
          <w:right w:w="0" w:type="dxa"/>
        </w:tblCellMar>
        <w:tblLook w:val="0000"/>
      </w:tblPr>
      <w:tblGrid>
        <w:gridCol w:w="60"/>
        <w:gridCol w:w="113"/>
        <w:gridCol w:w="9921"/>
        <w:gridCol w:w="113"/>
      </w:tblGrid>
      <w:tr w:rsidR="00110527" w:rsidRPr="005F11F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0527" w:rsidRPr="005F11F3" w:rsidRDefault="00110527">
            <w:pPr>
              <w:pStyle w:val="ConsPlusNormal"/>
              <w:rPr>
                <w:rFonts w:eastAsiaTheme="minorEastAsia"/>
              </w:rPr>
            </w:pPr>
          </w:p>
        </w:tc>
        <w:tc>
          <w:tcPr>
            <w:tcW w:w="113" w:type="dxa"/>
            <w:shd w:val="clear" w:color="auto" w:fill="F4F3F8"/>
            <w:tcMar>
              <w:top w:w="0" w:type="dxa"/>
              <w:left w:w="0" w:type="dxa"/>
              <w:bottom w:w="0" w:type="dxa"/>
              <w:right w:w="0" w:type="dxa"/>
            </w:tcMar>
          </w:tcPr>
          <w:p w:rsidR="00110527" w:rsidRPr="005F11F3" w:rsidRDefault="00110527">
            <w:pPr>
              <w:pStyle w:val="ConsPlusNormal"/>
              <w:rPr>
                <w:rFonts w:eastAsiaTheme="minorEastAsia"/>
              </w:rPr>
            </w:pPr>
          </w:p>
        </w:tc>
        <w:tc>
          <w:tcPr>
            <w:tcW w:w="0" w:type="auto"/>
            <w:shd w:val="clear" w:color="auto" w:fill="F4F3F8"/>
            <w:tcMar>
              <w:top w:w="113" w:type="dxa"/>
              <w:left w:w="0" w:type="dxa"/>
              <w:bottom w:w="113" w:type="dxa"/>
              <w:right w:w="0" w:type="dxa"/>
            </w:tcMar>
          </w:tcPr>
          <w:p w:rsidR="00110527" w:rsidRPr="005F11F3" w:rsidRDefault="00110527">
            <w:pPr>
              <w:pStyle w:val="ConsPlusNormal"/>
              <w:jc w:val="center"/>
              <w:rPr>
                <w:rFonts w:eastAsiaTheme="minorEastAsia"/>
                <w:color w:val="392C69"/>
              </w:rPr>
            </w:pPr>
            <w:r w:rsidRPr="005F11F3">
              <w:rPr>
                <w:rFonts w:eastAsiaTheme="minorEastAsia"/>
                <w:color w:val="392C69"/>
              </w:rPr>
              <w:t>Список изменяющих документов</w:t>
            </w:r>
          </w:p>
          <w:p w:rsidR="00110527" w:rsidRPr="005F11F3" w:rsidRDefault="00110527">
            <w:pPr>
              <w:pStyle w:val="ConsPlusNormal"/>
              <w:jc w:val="center"/>
              <w:rPr>
                <w:rFonts w:eastAsiaTheme="minorEastAsia"/>
                <w:color w:val="392C69"/>
              </w:rPr>
            </w:pPr>
            <w:r w:rsidRPr="005F11F3">
              <w:rPr>
                <w:rFonts w:eastAsiaTheme="minorEastAsia"/>
                <w:color w:val="392C69"/>
              </w:rPr>
              <w:t>(в ред. Постановлений Правительства РФ от 15.06.2022 N 1070,</w:t>
            </w:r>
          </w:p>
          <w:p w:rsidR="00110527" w:rsidRPr="005F11F3" w:rsidRDefault="00110527">
            <w:pPr>
              <w:pStyle w:val="ConsPlusNormal"/>
              <w:jc w:val="center"/>
              <w:rPr>
                <w:rFonts w:eastAsiaTheme="minorEastAsia"/>
                <w:color w:val="392C69"/>
              </w:rPr>
            </w:pPr>
            <w:r w:rsidRPr="005F11F3">
              <w:rPr>
                <w:rFonts w:eastAsiaTheme="minorEastAsia"/>
                <w:color w:val="392C69"/>
              </w:rPr>
              <w:t>от 07.12.2022 N 2238, от 28.12.2022 N 2492, от 13.09.2023 N 1492,</w:t>
            </w:r>
          </w:p>
          <w:p w:rsidR="00110527" w:rsidRPr="005F11F3" w:rsidRDefault="00110527">
            <w:pPr>
              <w:pStyle w:val="ConsPlusNormal"/>
              <w:jc w:val="center"/>
              <w:rPr>
                <w:rFonts w:eastAsiaTheme="minorEastAsia"/>
                <w:color w:val="392C69"/>
              </w:rPr>
            </w:pPr>
            <w:r w:rsidRPr="005F11F3">
              <w:rPr>
                <w:rFonts w:eastAsiaTheme="minorEastAsia"/>
                <w:color w:val="392C69"/>
              </w:rPr>
              <w:t>от 16.08.2024 N 1101)</w:t>
            </w:r>
          </w:p>
        </w:tc>
        <w:tc>
          <w:tcPr>
            <w:tcW w:w="113" w:type="dxa"/>
            <w:shd w:val="clear" w:color="auto" w:fill="F4F3F8"/>
            <w:tcMar>
              <w:top w:w="0" w:type="dxa"/>
              <w:left w:w="0" w:type="dxa"/>
              <w:bottom w:w="0" w:type="dxa"/>
              <w:right w:w="0" w:type="dxa"/>
            </w:tcMar>
          </w:tcPr>
          <w:p w:rsidR="00110527" w:rsidRPr="005F11F3" w:rsidRDefault="00110527">
            <w:pPr>
              <w:pStyle w:val="ConsPlusNormal"/>
              <w:jc w:val="center"/>
              <w:rPr>
                <w:rFonts w:eastAsiaTheme="minorEastAsia"/>
                <w:color w:val="392C69"/>
              </w:rPr>
            </w:pPr>
          </w:p>
        </w:tc>
      </w:tr>
    </w:tbl>
    <w:p w:rsidR="00110527" w:rsidRDefault="00110527">
      <w:pPr>
        <w:pStyle w:val="ConsPlusNormal"/>
        <w:ind w:firstLine="540"/>
        <w:jc w:val="both"/>
      </w:pPr>
    </w:p>
    <w:p w:rsidR="00110527" w:rsidRDefault="00110527">
      <w:pPr>
        <w:pStyle w:val="ConsPlusNormal"/>
        <w:ind w:firstLine="540"/>
        <w:jc w:val="both"/>
      </w:pPr>
      <w:r>
        <w:t>В соответствии с пунктом 2 части 1 статьи 11 Федерального закона от 14 марта 2022 г. N 56-ФЗ "О внесении изменений в Воздушный кодекс Российской Федерации и отдельные законодательные акты Российской Федерации" Правительство Российской Федерации постановляет:</w:t>
      </w:r>
    </w:p>
    <w:p w:rsidR="00110527" w:rsidRDefault="00110527">
      <w:pPr>
        <w:pStyle w:val="ConsPlusNormal"/>
        <w:spacing w:before="240"/>
        <w:ind w:firstLine="540"/>
        <w:jc w:val="both"/>
      </w:pPr>
      <w:r>
        <w:t xml:space="preserve">1. Установить в 2022 - 2026 годах следующие особенности государственной регистрации в Государственном реестре гражданских воздушных судов Российской Федерации (далее - Реестр) и государственной регистрации прав на гражданские воздушные суда и сделок с ними в Едином государственном реестре прав на воздушные суда (далее - государственная регистрация прав на гражданские воздушные суда) в отношении гражданских воздушных судов, принадлежащих на праве собственности российским юридическим или физическим лицам и зарегистрированных в реестрах гражданских воздушных судов иностранных государств, включенных в том числе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(далее - перечень), гражданских воздушных судов, используемых российскими лизингополучателями (арендаторами) и принадлежащих на праве собственности или ином законном основании лизингодателям (арендодателям) иностранных государств, входящих в перечень, гражданских воздушных судов, принадлежащих на праве собственности лизингодателям (арендодателям) иностранных государств, входящих в перечень, являющимся хозяйственными обществами, в отношении которых зарегистрированные в Российской Федерации юридические лица, доля участия Российской Федерации в уставных капиталах которых превышает 50 процентов, имеют право прямо или косвенно (через подконтрольных им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50 и более процентами голосов в высшем органе управления подконтрольной организации либо право назначать (избирать) единоличный исполнительный орган и (или) 50 и более процентов состава коллегиального органа управления подконтрольной организации (далее - лизингодатели (арендодатели) иностранных </w:t>
      </w:r>
      <w:r>
        <w:lastRenderedPageBreak/>
        <w:t>государств), а также гражданских воздушных судов, права собственности на которые приобретены после 12 марта 2022 г. иностранными хозяйственными обществами, зарегистрированными в иностранных государствах, входящих в перечень, в отношении которых зарегистрированные в Российской Федерации юридические лица, доля участия Российской Федерации в уставных капиталах которых превышает 50 процентов, имеют право прямо или косвенно (через подконтрольных им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50 и более процентами голосов в высшем органе управления подконтрольной организации либо право назначать (избирать) единоличный исполнительный орган и (или) 50 и более процентов состава коллегиального органа управления подконтрольной организации (далее - иностранное хозяйственное общество):</w:t>
      </w:r>
    </w:p>
    <w:p w:rsidR="00110527" w:rsidRDefault="00110527">
      <w:pPr>
        <w:pStyle w:val="ConsPlusNormal"/>
        <w:jc w:val="both"/>
      </w:pPr>
      <w:r>
        <w:t>(в ред. Постановлений Правительства РФ от 07.12.2022 N 2238, от 28.12.2022 N 2492, от 16.08.2024 N 1101)</w:t>
      </w:r>
    </w:p>
    <w:p w:rsidR="00110527" w:rsidRDefault="00110527">
      <w:pPr>
        <w:pStyle w:val="ConsPlusNormal"/>
      </w:pPr>
    </w:p>
    <w:tbl>
      <w:tblPr>
        <w:tblW w:w="5000" w:type="pct"/>
        <w:tblCellMar>
          <w:left w:w="0" w:type="dxa"/>
          <w:right w:w="0" w:type="dxa"/>
        </w:tblCellMar>
        <w:tblLook w:val="0000"/>
      </w:tblPr>
      <w:tblGrid>
        <w:gridCol w:w="60"/>
        <w:gridCol w:w="113"/>
        <w:gridCol w:w="9921"/>
        <w:gridCol w:w="113"/>
      </w:tblGrid>
      <w:tr w:rsidR="00110527" w:rsidRPr="005F11F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10527" w:rsidRPr="005F11F3" w:rsidRDefault="00110527">
            <w:pPr>
              <w:pStyle w:val="ConsPlusNormal"/>
              <w:rPr>
                <w:rFonts w:eastAsiaTheme="minorEastAsia"/>
              </w:rPr>
            </w:pPr>
          </w:p>
        </w:tc>
        <w:tc>
          <w:tcPr>
            <w:tcW w:w="113" w:type="dxa"/>
            <w:shd w:val="clear" w:color="auto" w:fill="F4F3F8"/>
            <w:tcMar>
              <w:top w:w="0" w:type="dxa"/>
              <w:left w:w="0" w:type="dxa"/>
              <w:bottom w:w="0" w:type="dxa"/>
              <w:right w:w="0" w:type="dxa"/>
            </w:tcMar>
          </w:tcPr>
          <w:p w:rsidR="00110527" w:rsidRPr="005F11F3" w:rsidRDefault="00110527">
            <w:pPr>
              <w:pStyle w:val="ConsPlusNormal"/>
              <w:rPr>
                <w:rFonts w:eastAsiaTheme="minorEastAsia"/>
              </w:rPr>
            </w:pPr>
          </w:p>
        </w:tc>
        <w:tc>
          <w:tcPr>
            <w:tcW w:w="0" w:type="auto"/>
            <w:shd w:val="clear" w:color="auto" w:fill="F4F3F8"/>
            <w:tcMar>
              <w:top w:w="113" w:type="dxa"/>
              <w:left w:w="0" w:type="dxa"/>
              <w:bottom w:w="113" w:type="dxa"/>
              <w:right w:w="0" w:type="dxa"/>
            </w:tcMar>
          </w:tcPr>
          <w:p w:rsidR="00110527" w:rsidRPr="005F11F3" w:rsidRDefault="00110527">
            <w:pPr>
              <w:pStyle w:val="ConsPlusNormal"/>
              <w:jc w:val="both"/>
              <w:rPr>
                <w:rFonts w:eastAsiaTheme="minorEastAsia"/>
                <w:color w:val="392C69"/>
              </w:rPr>
            </w:pPr>
            <w:r w:rsidRPr="005F11F3">
              <w:rPr>
                <w:rFonts w:eastAsiaTheme="minorEastAsia"/>
                <w:color w:val="392C69"/>
              </w:rPr>
              <w:t>КонсультантПлюс: примечание.</w:t>
            </w:r>
          </w:p>
          <w:p w:rsidR="00110527" w:rsidRPr="005F11F3" w:rsidRDefault="00110527">
            <w:pPr>
              <w:pStyle w:val="ConsPlusNormal"/>
              <w:jc w:val="both"/>
              <w:rPr>
                <w:rFonts w:eastAsiaTheme="minorEastAsia"/>
                <w:color w:val="392C69"/>
              </w:rPr>
            </w:pPr>
            <w:r w:rsidRPr="005F11F3">
              <w:rPr>
                <w:rFonts w:eastAsiaTheme="minorEastAsia"/>
                <w:color w:val="392C69"/>
              </w:rPr>
              <w:t>Действие Правил, утв. Постановлением Правительства РФ от 11.04.2022 N 635, продлено до 2030 года.</w:t>
            </w:r>
          </w:p>
        </w:tc>
        <w:tc>
          <w:tcPr>
            <w:tcW w:w="113" w:type="dxa"/>
            <w:shd w:val="clear" w:color="auto" w:fill="F4F3F8"/>
            <w:tcMar>
              <w:top w:w="0" w:type="dxa"/>
              <w:left w:w="0" w:type="dxa"/>
              <w:bottom w:w="0" w:type="dxa"/>
              <w:right w:w="0" w:type="dxa"/>
            </w:tcMar>
          </w:tcPr>
          <w:p w:rsidR="00110527" w:rsidRPr="005F11F3" w:rsidRDefault="00110527">
            <w:pPr>
              <w:pStyle w:val="ConsPlusNormal"/>
              <w:jc w:val="both"/>
              <w:rPr>
                <w:rFonts w:eastAsiaTheme="minorEastAsia"/>
                <w:color w:val="392C69"/>
              </w:rPr>
            </w:pPr>
          </w:p>
        </w:tc>
      </w:tr>
    </w:tbl>
    <w:p w:rsidR="00110527" w:rsidRDefault="00110527">
      <w:pPr>
        <w:pStyle w:val="ConsPlusNormal"/>
        <w:spacing w:before="300"/>
        <w:ind w:firstLine="540"/>
        <w:jc w:val="both"/>
      </w:pPr>
      <w:r>
        <w:t xml:space="preserve">а) прием заявлений и документов, необходимых для государственной регистрации гражданских воздушных судов в Реестре, а также для государственной регистрации прав на гражданские воздушные суда (далее - заявление и необходимые документы), осуществляется при их поступлении от российских лизингополучателей (арендаторов) гражданских воздушных судов, от российских юридических или физических лиц, которым принадлежат на праве собственности гражданские воздушные суда, зарегистрированные в реестрах гражданских воздушных судов иностранных государств, включенных в том числе в перечень, а также от лизингодателей (арендодателей) иностранных государств и иностранных хозяйственных обществ или от российских юридических лиц, являющихся контролирующими лицами лизингодателей (арендодателей) иностранных государств или иностранных хозяйственных обществ и признанных их основными хозяйственными обществами в соответствии с Правилами исполнения в 2022 - 2024 годах обязательств по уплате арендных, лизинговых и иных платежей в рамках реализации договоров, предусматривающих приобретение, аренду, лизинг воздушных судов, вспомогательных силовых установок, авиационных двигателей, перед иностранными лицами, связанными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являющимися хозяйственными обществами, в случаях, предусмотренных подпунктом "а" пункта 2 Указа Президента Российской Федерации от 1 апреля 2022 г. N 179 "О временном порядке исполнения финансовых обязательств в сфере транспорта перед некоторыми иностранными кредиторами", утвержденными постановлением Правительства Российской Федерации от 11 апреля 2022 г. N 635 "О порядке исполнения обязательств, предусмотренных пунктами 1 и 2 Указа Президента Российской Федерации от 1 апреля 2022 г. N 179 "О временном порядке исполнения финансовых обязательств в сфере транспорта перед некоторыми иностранными кредиторами" </w:t>
      </w:r>
      <w:r>
        <w:lastRenderedPageBreak/>
        <w:t>(далее - заявитель), посредством личного обращения или почтового отправления либо их предоставления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Федерального агентства воздушного транспорта, или иных информационных технологий взаимодействия с органом государственной регистрации прав на воздушные суда;</w:t>
      </w:r>
    </w:p>
    <w:p w:rsidR="00110527" w:rsidRDefault="00110527">
      <w:pPr>
        <w:pStyle w:val="ConsPlusNormal"/>
        <w:jc w:val="both"/>
      </w:pPr>
      <w:r>
        <w:t>(в ред. Постановлений Правительства РФ от 15.06.2022 N 1070, от 07.12.2022 N 2238, от 13.09.2023 N 1492, от 16.08.2024 N 1101)</w:t>
      </w:r>
    </w:p>
    <w:p w:rsidR="00110527" w:rsidRDefault="00110527">
      <w:pPr>
        <w:pStyle w:val="ConsPlusNormal"/>
        <w:spacing w:before="240"/>
        <w:ind w:firstLine="540"/>
        <w:jc w:val="both"/>
      </w:pPr>
      <w:r>
        <w:t>б) заявителями, за исключением российских юридических или физических лиц, которым принадлежат на праве собственности гражданские воздушные суда, зарегистрированные в реестрах гражданских воздушных судов иностранных государств, включенных в перечень, и иностранных хозяйственных обществ, для государственной регистрации гражданских воздушных судов в Реестре предоставляются копии договоров финансовой аренды (лизинга), договоров аренды в отношении гражданских воздушных судов без представления документов, подтверждающих право собственности на такие воздушные суда;</w:t>
      </w:r>
    </w:p>
    <w:p w:rsidR="00110527" w:rsidRDefault="00110527">
      <w:pPr>
        <w:pStyle w:val="ConsPlusNormal"/>
        <w:jc w:val="both"/>
      </w:pPr>
      <w:r>
        <w:t>(пп. "б" в ред. Постановления Правительства РФ от 07.12.2022 N 2238)</w:t>
      </w:r>
    </w:p>
    <w:p w:rsidR="00110527" w:rsidRDefault="00110527">
      <w:pPr>
        <w:pStyle w:val="ConsPlusNormal"/>
        <w:spacing w:before="240"/>
        <w:ind w:firstLine="540"/>
        <w:jc w:val="both"/>
      </w:pPr>
      <w:r>
        <w:t>б(1)) заявителями, являющимися лизингодателями (арендодателями) иностранных государств, для государственной регистрации прав на гражданские воздушные суда предоставляются оригиналы договоров финансовой аренды (лизинга), договоров аренды гражданских воздушных судов либо копии таких договоров, заверенные нотариусами или иными должностными лицами, уполномоченными на совершение нотариальных действий, в соответствии с требованиями Основ законодательства Российской Федерации о нотариате, и документов, подтверждающих полные наименования таких заявителей с указанием их места нахождения, либо заверенные копии таких документов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rsidR="00110527" w:rsidRDefault="00110527">
      <w:pPr>
        <w:pStyle w:val="ConsPlusNormal"/>
        <w:jc w:val="both"/>
      </w:pPr>
      <w:r>
        <w:t>(пп. "б(1)" введен Постановлением Правительства РФ от 07.12.2022 N 2238)</w:t>
      </w:r>
    </w:p>
    <w:p w:rsidR="00110527" w:rsidRDefault="00110527">
      <w:pPr>
        <w:pStyle w:val="ConsPlusNormal"/>
        <w:spacing w:before="240"/>
        <w:ind w:firstLine="540"/>
        <w:jc w:val="both"/>
      </w:pPr>
      <w:r>
        <w:t>б(2)) заявителями, являющимися иностранными хозяйственными обществами, для государственной регистрации прав на гражданские воздушные суда предоставляются оригиналы документов, подтверждающих возникновение прав собственности на гражданские воздушные суда, либо копии таких документов, заверенные нотариусами или иными должностными лицами, уполномоченными на совершение нотариальных действий, в соответствии с требованиями Основ законодательства Российской Федерации о нотариате, и документов, подтверждающих полные наименования таких заявителей с указанием их места нахождения, либо заверенные копии таких документов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rsidR="00110527" w:rsidRDefault="00110527">
      <w:pPr>
        <w:pStyle w:val="ConsPlusNormal"/>
        <w:jc w:val="both"/>
      </w:pPr>
      <w:r>
        <w:t>(пп. "б(2)" введен Постановлением Правительства РФ от 07.12.2022 N 2238)</w:t>
      </w:r>
    </w:p>
    <w:p w:rsidR="00110527" w:rsidRDefault="00110527">
      <w:pPr>
        <w:pStyle w:val="ConsPlusNormal"/>
        <w:spacing w:before="240"/>
        <w:ind w:firstLine="540"/>
        <w:jc w:val="both"/>
      </w:pPr>
      <w:r>
        <w:t>б(3)) для служебного пользования;</w:t>
      </w:r>
    </w:p>
    <w:p w:rsidR="00110527" w:rsidRDefault="00110527">
      <w:pPr>
        <w:pStyle w:val="ConsPlusNormal"/>
        <w:jc w:val="both"/>
      </w:pPr>
      <w:r>
        <w:t>(пп. "б(3)" введен Постановлением Правительства РФ от 13.09.2023 N 1492)</w:t>
      </w:r>
    </w:p>
    <w:p w:rsidR="00110527" w:rsidRDefault="00110527">
      <w:pPr>
        <w:pStyle w:val="ConsPlusNormal"/>
        <w:spacing w:before="240"/>
        <w:ind w:firstLine="540"/>
        <w:jc w:val="both"/>
      </w:pPr>
      <w:r>
        <w:t xml:space="preserve">в) внесение пилотируемых гражданских воздушных судов в Реестр осуществляется без предоставления документа, подтверждающего исключение гражданского воздушного судна из реестра гражданских воздушных судов иностранного государства, при условии предоставления </w:t>
      </w:r>
      <w:r>
        <w:lastRenderedPageBreak/>
        <w:t>заявителем информационного уведомления (письма) компетентного органа этого иностранного государства о прекращении или приостановлении действия сертификата летной годности в отношении гражданского воздушного судна в связи с недружественными и противоречащими международному праву действиями иностранных государств и международных организаций, связанными с введением ограничительных мер в отношении граждан Российской Федерации и российских юридических лиц;</w:t>
      </w:r>
    </w:p>
    <w:p w:rsidR="00110527" w:rsidRDefault="00110527">
      <w:pPr>
        <w:pStyle w:val="ConsPlusNormal"/>
        <w:jc w:val="both"/>
      </w:pPr>
      <w:r>
        <w:t>(в ред. Постановления Правительства РФ от 16.08.2024 N 1101)</w:t>
      </w:r>
    </w:p>
    <w:p w:rsidR="00110527" w:rsidRDefault="00110527">
      <w:pPr>
        <w:pStyle w:val="ConsPlusNormal"/>
        <w:spacing w:before="240"/>
        <w:ind w:firstLine="540"/>
        <w:jc w:val="both"/>
      </w:pPr>
      <w:r>
        <w:t>в(1)) внесение беспилотных гражданских воздушных судов с максимальной взлетной массой более 30 килограммов, ввезенных на территорию Российской Федерации (далее - беспилотное воздушное судно), в Реестр осуществляется на основании информационного уведомления (письма) изготовителя беспилотного воздушного судна о том, что беспилотное воздушное судно не подлежит государственной регистрации в иностранном государстве, в котором изготовлено данное беспилотное воздушное судно, а также на основании информационного уведомления (письма) собственника беспилотного воздушного судна о том, что беспилотное воздушное судно не находилось в эксплуатации до ввоза на территорию Российской Федерации;</w:t>
      </w:r>
    </w:p>
    <w:p w:rsidR="00110527" w:rsidRDefault="00110527">
      <w:pPr>
        <w:pStyle w:val="ConsPlusNormal"/>
        <w:jc w:val="both"/>
      </w:pPr>
      <w:r>
        <w:t>(пп. "в(1)" введен Постановлением Правительства РФ от 16.08.2024 N 1101)</w:t>
      </w:r>
    </w:p>
    <w:p w:rsidR="00110527" w:rsidRDefault="00110527">
      <w:pPr>
        <w:pStyle w:val="ConsPlusNormal"/>
        <w:spacing w:before="240"/>
        <w:ind w:firstLine="540"/>
        <w:jc w:val="both"/>
      </w:pPr>
      <w:r>
        <w:t>в(2)) для служебного пользования;</w:t>
      </w:r>
    </w:p>
    <w:p w:rsidR="00110527" w:rsidRDefault="00110527">
      <w:pPr>
        <w:pStyle w:val="ConsPlusNormal"/>
        <w:jc w:val="both"/>
      </w:pPr>
      <w:r>
        <w:t>(пп. "в(2)" введен Постановлением Правительства РФ от 16.08.2024 N 1101)</w:t>
      </w:r>
    </w:p>
    <w:p w:rsidR="00110527" w:rsidRDefault="00110527">
      <w:pPr>
        <w:pStyle w:val="ConsPlusNormal"/>
        <w:spacing w:before="240"/>
        <w:ind w:firstLine="540"/>
        <w:jc w:val="both"/>
      </w:pPr>
      <w:bookmarkStart w:id="0" w:name="Par38"/>
      <w:bookmarkEnd w:id="0"/>
      <w:r>
        <w:t>г) рассмотрение заявлений и необходимых документов, принятие решения о внесении гражданских воздушных судов в Реестр либо об отказе во внесении гражданских воздушных судов в Реестр осуществляется в срок, не превышающий 5 рабочих дней с даты подачи заявлений и необходимых документов;</w:t>
      </w:r>
    </w:p>
    <w:p w:rsidR="00110527" w:rsidRDefault="00110527">
      <w:pPr>
        <w:pStyle w:val="ConsPlusNormal"/>
        <w:spacing w:before="240"/>
        <w:ind w:firstLine="540"/>
        <w:jc w:val="both"/>
      </w:pPr>
      <w:r>
        <w:t xml:space="preserve">д) заявитель информируется о принятом в соответствии с </w:t>
      </w:r>
      <w:hyperlink w:anchor="Par38" w:tooltip="г) рассмотрение заявлений и необходимых документов, принятие решения о внесении гражданских воздушных судов в Реестр либо об отказе во внесении гражданских воздушных судов в Реестр осуществляется в срок, не превышающий 5 рабочих дней с даты подачи заявлений и необходимых документов;" w:history="1">
        <w:r>
          <w:rPr>
            <w:color w:val="0000FF"/>
          </w:rPr>
          <w:t>подпунктом "г" пункта 1</w:t>
        </w:r>
      </w:hyperlink>
      <w:r>
        <w:t xml:space="preserve"> настоящего постановления решении по результатам рассмотрения заявлений и необходимых документов по адресу электронной почты, указанному в заявлении, незамедлительно, но не позднее 24 часов с момента принятия такого решения;</w:t>
      </w:r>
    </w:p>
    <w:p w:rsidR="00110527" w:rsidRDefault="00110527">
      <w:pPr>
        <w:pStyle w:val="ConsPlusNormal"/>
        <w:spacing w:before="240"/>
        <w:ind w:firstLine="540"/>
        <w:jc w:val="both"/>
      </w:pPr>
      <w:r>
        <w:t>е) резервирование государственных и регистрационных опознавательных знаков по обращению заявителя, планирующего внесение гражданского воздушного судна в Реестр, предоставление информации о резервировании государственных и регистрационных опознавательных знаков, а также 24-битного адресного кода заявителю осуществляются в течение 3 рабочих дней со дня подачи такого обращения.</w:t>
      </w:r>
    </w:p>
    <w:p w:rsidR="00110527" w:rsidRDefault="00110527">
      <w:pPr>
        <w:pStyle w:val="ConsPlusNormal"/>
        <w:spacing w:before="240"/>
        <w:ind w:firstLine="540"/>
        <w:jc w:val="both"/>
      </w:pPr>
      <w:r>
        <w:t>1(1). Для служебного пользования.</w:t>
      </w:r>
    </w:p>
    <w:p w:rsidR="00110527" w:rsidRDefault="00110527">
      <w:pPr>
        <w:pStyle w:val="ConsPlusNormal"/>
        <w:jc w:val="both"/>
      </w:pPr>
      <w:r>
        <w:t>(п. 1(1) введен Постановлением Правительства РФ от 16.08.2024 N 1101)</w:t>
      </w:r>
    </w:p>
    <w:p w:rsidR="00110527" w:rsidRDefault="00110527">
      <w:pPr>
        <w:pStyle w:val="ConsPlusNormal"/>
        <w:spacing w:before="240"/>
        <w:ind w:firstLine="540"/>
        <w:jc w:val="both"/>
      </w:pPr>
      <w:r>
        <w:t>1(2). Для служебного пользования.</w:t>
      </w:r>
    </w:p>
    <w:p w:rsidR="00110527" w:rsidRDefault="00110527">
      <w:pPr>
        <w:pStyle w:val="ConsPlusNormal"/>
        <w:jc w:val="both"/>
      </w:pPr>
      <w:r>
        <w:t>(п. 1(2) введен Постановлением Правительства РФ от 16.08.2024 N 1101)</w:t>
      </w:r>
    </w:p>
    <w:p w:rsidR="00110527" w:rsidRDefault="00110527">
      <w:pPr>
        <w:pStyle w:val="ConsPlusNormal"/>
        <w:spacing w:before="240"/>
        <w:ind w:firstLine="540"/>
        <w:jc w:val="both"/>
      </w:pPr>
      <w:r>
        <w:t>2. Настоящее постановление вступает в силу со дня его официального опубликования.</w:t>
      </w:r>
    </w:p>
    <w:p w:rsidR="00110527" w:rsidRDefault="00110527">
      <w:pPr>
        <w:pStyle w:val="ConsPlusNormal"/>
        <w:ind w:firstLine="540"/>
        <w:jc w:val="both"/>
      </w:pPr>
    </w:p>
    <w:p w:rsidR="00110527" w:rsidRDefault="00110527">
      <w:pPr>
        <w:pStyle w:val="ConsPlusNormal"/>
        <w:jc w:val="right"/>
      </w:pPr>
      <w:r>
        <w:t>Председатель Правительства</w:t>
      </w:r>
    </w:p>
    <w:p w:rsidR="00110527" w:rsidRDefault="00110527">
      <w:pPr>
        <w:pStyle w:val="ConsPlusNormal"/>
        <w:jc w:val="right"/>
      </w:pPr>
      <w:r>
        <w:t>Российской Федерации</w:t>
      </w:r>
    </w:p>
    <w:p w:rsidR="00110527" w:rsidRDefault="00110527" w:rsidP="00110527">
      <w:pPr>
        <w:pStyle w:val="ConsPlusNormal"/>
        <w:jc w:val="right"/>
        <w:rPr>
          <w:sz w:val="2"/>
          <w:szCs w:val="2"/>
        </w:rPr>
      </w:pPr>
      <w:r>
        <w:t>М.МИШУСТИН</w:t>
      </w:r>
    </w:p>
    <w:sectPr w:rsidR="00110527" w:rsidSect="00110527">
      <w:headerReference w:type="default" r:id="rId6"/>
      <w:footerReference w:type="default" r:id="rId7"/>
      <w:headerReference w:type="first" r:id="rId8"/>
      <w:footerReference w:type="first" r:id="rId9"/>
      <w:pgSz w:w="11906" w:h="16838"/>
      <w:pgMar w:top="426" w:right="566" w:bottom="1440" w:left="1133"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1F3" w:rsidRDefault="005F11F3" w:rsidP="001630F2">
      <w:pPr>
        <w:spacing w:after="0" w:line="240" w:lineRule="auto"/>
      </w:pPr>
      <w:r>
        <w:separator/>
      </w:r>
    </w:p>
  </w:endnote>
  <w:endnote w:type="continuationSeparator" w:id="1">
    <w:p w:rsidR="005F11F3" w:rsidRDefault="005F11F3" w:rsidP="001630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27" w:rsidRDefault="0011052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110527" w:rsidRPr="005F11F3">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10527" w:rsidRPr="005F11F3" w:rsidRDefault="00110527">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110527" w:rsidRPr="005F11F3" w:rsidRDefault="00110527">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110527" w:rsidRPr="005F11F3" w:rsidRDefault="00110527">
          <w:pPr>
            <w:pStyle w:val="ConsPlusNormal"/>
            <w:jc w:val="right"/>
            <w:rPr>
              <w:rFonts w:ascii="Tahoma" w:eastAsiaTheme="minorEastAsia" w:hAnsi="Tahoma" w:cs="Tahoma"/>
              <w:sz w:val="20"/>
              <w:szCs w:val="20"/>
            </w:rPr>
          </w:pPr>
          <w:r w:rsidRPr="005F11F3">
            <w:rPr>
              <w:rFonts w:ascii="Tahoma" w:eastAsiaTheme="minorEastAsia" w:hAnsi="Tahoma" w:cs="Tahoma"/>
              <w:sz w:val="20"/>
              <w:szCs w:val="20"/>
            </w:rPr>
            <w:t xml:space="preserve">Страница </w:t>
          </w:r>
          <w:r w:rsidRPr="005F11F3">
            <w:rPr>
              <w:rFonts w:ascii="Tahoma" w:eastAsiaTheme="minorEastAsia" w:hAnsi="Tahoma" w:cs="Tahoma"/>
              <w:sz w:val="20"/>
              <w:szCs w:val="20"/>
            </w:rPr>
            <w:fldChar w:fldCharType="begin"/>
          </w:r>
          <w:r w:rsidRPr="005F11F3">
            <w:rPr>
              <w:rFonts w:ascii="Tahoma" w:eastAsiaTheme="minorEastAsia" w:hAnsi="Tahoma" w:cs="Tahoma"/>
              <w:sz w:val="20"/>
              <w:szCs w:val="20"/>
            </w:rPr>
            <w:instrText>\PAGE</w:instrText>
          </w:r>
          <w:r w:rsidRPr="005F11F3">
            <w:rPr>
              <w:rFonts w:ascii="Tahoma" w:eastAsiaTheme="minorEastAsia" w:hAnsi="Tahoma" w:cs="Tahoma"/>
              <w:sz w:val="20"/>
              <w:szCs w:val="20"/>
            </w:rPr>
            <w:fldChar w:fldCharType="separate"/>
          </w:r>
          <w:r w:rsidR="00747B6F" w:rsidRPr="005F11F3">
            <w:rPr>
              <w:rFonts w:ascii="Tahoma" w:eastAsiaTheme="minorEastAsia" w:hAnsi="Tahoma" w:cs="Tahoma"/>
              <w:noProof/>
              <w:sz w:val="20"/>
              <w:szCs w:val="20"/>
            </w:rPr>
            <w:t>4</w:t>
          </w:r>
          <w:r w:rsidRPr="005F11F3">
            <w:rPr>
              <w:rFonts w:ascii="Tahoma" w:eastAsiaTheme="minorEastAsia" w:hAnsi="Tahoma" w:cs="Tahoma"/>
              <w:sz w:val="20"/>
              <w:szCs w:val="20"/>
            </w:rPr>
            <w:fldChar w:fldCharType="end"/>
          </w:r>
          <w:r w:rsidRPr="005F11F3">
            <w:rPr>
              <w:rFonts w:ascii="Tahoma" w:eastAsiaTheme="minorEastAsia" w:hAnsi="Tahoma" w:cs="Tahoma"/>
              <w:sz w:val="20"/>
              <w:szCs w:val="20"/>
            </w:rPr>
            <w:t xml:space="preserve"> из </w:t>
          </w:r>
          <w:r w:rsidRPr="005F11F3">
            <w:rPr>
              <w:rFonts w:ascii="Tahoma" w:eastAsiaTheme="minorEastAsia" w:hAnsi="Tahoma" w:cs="Tahoma"/>
              <w:sz w:val="20"/>
              <w:szCs w:val="20"/>
            </w:rPr>
            <w:fldChar w:fldCharType="begin"/>
          </w:r>
          <w:r w:rsidRPr="005F11F3">
            <w:rPr>
              <w:rFonts w:ascii="Tahoma" w:eastAsiaTheme="minorEastAsia" w:hAnsi="Tahoma" w:cs="Tahoma"/>
              <w:sz w:val="20"/>
              <w:szCs w:val="20"/>
            </w:rPr>
            <w:instrText>\NUMPAGES</w:instrText>
          </w:r>
          <w:r w:rsidRPr="005F11F3">
            <w:rPr>
              <w:rFonts w:ascii="Tahoma" w:eastAsiaTheme="minorEastAsia" w:hAnsi="Tahoma" w:cs="Tahoma"/>
              <w:sz w:val="20"/>
              <w:szCs w:val="20"/>
            </w:rPr>
            <w:fldChar w:fldCharType="separate"/>
          </w:r>
          <w:r w:rsidR="00747B6F" w:rsidRPr="005F11F3">
            <w:rPr>
              <w:rFonts w:ascii="Tahoma" w:eastAsiaTheme="minorEastAsia" w:hAnsi="Tahoma" w:cs="Tahoma"/>
              <w:noProof/>
              <w:sz w:val="20"/>
              <w:szCs w:val="20"/>
            </w:rPr>
            <w:t>4</w:t>
          </w:r>
          <w:r w:rsidRPr="005F11F3">
            <w:rPr>
              <w:rFonts w:ascii="Tahoma" w:eastAsiaTheme="minorEastAsia" w:hAnsi="Tahoma" w:cs="Tahoma"/>
              <w:sz w:val="20"/>
              <w:szCs w:val="20"/>
            </w:rPr>
            <w:fldChar w:fldCharType="end"/>
          </w:r>
        </w:p>
      </w:tc>
    </w:tr>
  </w:tbl>
  <w:p w:rsidR="00110527" w:rsidRDefault="00110527">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27" w:rsidRDefault="00110527" w:rsidP="00110527">
    <w:pPr>
      <w:pStyle w:val="ConsPlusNormal"/>
      <w:pBdr>
        <w:bottom w:val="single" w:sz="12" w:space="16"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110527" w:rsidRPr="005F11F3">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10527" w:rsidRPr="005F11F3" w:rsidRDefault="00110527">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110527" w:rsidRPr="005F11F3" w:rsidRDefault="00110527">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110527" w:rsidRPr="005F11F3" w:rsidRDefault="00110527">
          <w:pPr>
            <w:pStyle w:val="ConsPlusNormal"/>
            <w:jc w:val="right"/>
            <w:rPr>
              <w:rFonts w:ascii="Tahoma" w:eastAsiaTheme="minorEastAsia" w:hAnsi="Tahoma" w:cs="Tahoma"/>
              <w:sz w:val="20"/>
              <w:szCs w:val="20"/>
            </w:rPr>
          </w:pPr>
          <w:r w:rsidRPr="005F11F3">
            <w:rPr>
              <w:rFonts w:ascii="Tahoma" w:eastAsiaTheme="minorEastAsia" w:hAnsi="Tahoma" w:cs="Tahoma"/>
              <w:sz w:val="20"/>
              <w:szCs w:val="20"/>
            </w:rPr>
            <w:t xml:space="preserve">Страница </w:t>
          </w:r>
          <w:r w:rsidRPr="005F11F3">
            <w:rPr>
              <w:rFonts w:ascii="Tahoma" w:eastAsiaTheme="minorEastAsia" w:hAnsi="Tahoma" w:cs="Tahoma"/>
              <w:sz w:val="20"/>
              <w:szCs w:val="20"/>
            </w:rPr>
            <w:fldChar w:fldCharType="begin"/>
          </w:r>
          <w:r w:rsidRPr="005F11F3">
            <w:rPr>
              <w:rFonts w:ascii="Tahoma" w:eastAsiaTheme="minorEastAsia" w:hAnsi="Tahoma" w:cs="Tahoma"/>
              <w:sz w:val="20"/>
              <w:szCs w:val="20"/>
            </w:rPr>
            <w:instrText>\PAGE</w:instrText>
          </w:r>
          <w:r w:rsidRPr="005F11F3">
            <w:rPr>
              <w:rFonts w:ascii="Tahoma" w:eastAsiaTheme="minorEastAsia" w:hAnsi="Tahoma" w:cs="Tahoma"/>
              <w:sz w:val="20"/>
              <w:szCs w:val="20"/>
            </w:rPr>
            <w:fldChar w:fldCharType="separate"/>
          </w:r>
          <w:r w:rsidR="00747B6F" w:rsidRPr="005F11F3">
            <w:rPr>
              <w:rFonts w:ascii="Tahoma" w:eastAsiaTheme="minorEastAsia" w:hAnsi="Tahoma" w:cs="Tahoma"/>
              <w:noProof/>
              <w:sz w:val="20"/>
              <w:szCs w:val="20"/>
            </w:rPr>
            <w:t>1</w:t>
          </w:r>
          <w:r w:rsidRPr="005F11F3">
            <w:rPr>
              <w:rFonts w:ascii="Tahoma" w:eastAsiaTheme="minorEastAsia" w:hAnsi="Tahoma" w:cs="Tahoma"/>
              <w:sz w:val="20"/>
              <w:szCs w:val="20"/>
            </w:rPr>
            <w:fldChar w:fldCharType="end"/>
          </w:r>
          <w:r w:rsidRPr="005F11F3">
            <w:rPr>
              <w:rFonts w:ascii="Tahoma" w:eastAsiaTheme="minorEastAsia" w:hAnsi="Tahoma" w:cs="Tahoma"/>
              <w:sz w:val="20"/>
              <w:szCs w:val="20"/>
            </w:rPr>
            <w:t xml:space="preserve"> из </w:t>
          </w:r>
          <w:r w:rsidRPr="005F11F3">
            <w:rPr>
              <w:rFonts w:ascii="Tahoma" w:eastAsiaTheme="minorEastAsia" w:hAnsi="Tahoma" w:cs="Tahoma"/>
              <w:sz w:val="20"/>
              <w:szCs w:val="20"/>
            </w:rPr>
            <w:fldChar w:fldCharType="begin"/>
          </w:r>
          <w:r w:rsidRPr="005F11F3">
            <w:rPr>
              <w:rFonts w:ascii="Tahoma" w:eastAsiaTheme="minorEastAsia" w:hAnsi="Tahoma" w:cs="Tahoma"/>
              <w:sz w:val="20"/>
              <w:szCs w:val="20"/>
            </w:rPr>
            <w:instrText>\NUMPAGES</w:instrText>
          </w:r>
          <w:r w:rsidRPr="005F11F3">
            <w:rPr>
              <w:rFonts w:ascii="Tahoma" w:eastAsiaTheme="minorEastAsia" w:hAnsi="Tahoma" w:cs="Tahoma"/>
              <w:sz w:val="20"/>
              <w:szCs w:val="20"/>
            </w:rPr>
            <w:fldChar w:fldCharType="separate"/>
          </w:r>
          <w:r w:rsidR="00747B6F" w:rsidRPr="005F11F3">
            <w:rPr>
              <w:rFonts w:ascii="Tahoma" w:eastAsiaTheme="minorEastAsia" w:hAnsi="Tahoma" w:cs="Tahoma"/>
              <w:noProof/>
              <w:sz w:val="20"/>
              <w:szCs w:val="20"/>
            </w:rPr>
            <w:t>3</w:t>
          </w:r>
          <w:r w:rsidRPr="005F11F3">
            <w:rPr>
              <w:rFonts w:ascii="Tahoma" w:eastAsiaTheme="minorEastAsia" w:hAnsi="Tahoma" w:cs="Tahoma"/>
              <w:sz w:val="20"/>
              <w:szCs w:val="20"/>
            </w:rPr>
            <w:fldChar w:fldCharType="end"/>
          </w:r>
        </w:p>
      </w:tc>
    </w:tr>
  </w:tbl>
  <w:p w:rsidR="00110527" w:rsidRDefault="0011052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1F3" w:rsidRDefault="005F11F3" w:rsidP="001630F2">
      <w:pPr>
        <w:spacing w:after="0" w:line="240" w:lineRule="auto"/>
      </w:pPr>
      <w:r>
        <w:separator/>
      </w:r>
    </w:p>
  </w:footnote>
  <w:footnote w:type="continuationSeparator" w:id="1">
    <w:p w:rsidR="005F11F3" w:rsidRDefault="005F11F3" w:rsidP="001630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110527" w:rsidRPr="005F11F3" w:rsidTr="00110527">
      <w:tblPrEx>
        <w:tblCellMar>
          <w:top w:w="0" w:type="dxa"/>
          <w:bottom w:w="0" w:type="dxa"/>
        </w:tblCellMar>
      </w:tblPrEx>
      <w:trPr>
        <w:trHeight w:hRule="exact" w:val="1701"/>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10527" w:rsidRPr="005F11F3" w:rsidRDefault="00110527">
          <w:pPr>
            <w:pStyle w:val="ConsPlusNormal"/>
            <w:rPr>
              <w:rFonts w:ascii="Tahoma" w:eastAsiaTheme="minorEastAsi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10527" w:rsidRPr="005F11F3" w:rsidRDefault="00110527">
          <w:pPr>
            <w:pStyle w:val="ConsPlusNormal"/>
            <w:jc w:val="right"/>
            <w:rPr>
              <w:rFonts w:ascii="Tahoma" w:eastAsiaTheme="minorEastAsia" w:hAnsi="Tahoma" w:cs="Tahoma"/>
              <w:sz w:val="16"/>
              <w:szCs w:val="16"/>
            </w:rPr>
          </w:pPr>
        </w:p>
      </w:tc>
    </w:tr>
  </w:tbl>
  <w:p w:rsidR="00110527" w:rsidRDefault="00110527">
    <w:pPr>
      <w:pStyle w:val="ConsPlusNormal"/>
      <w:pBdr>
        <w:bottom w:val="single" w:sz="12" w:space="0" w:color="auto"/>
      </w:pBdr>
      <w:jc w:val="center"/>
      <w:rPr>
        <w:sz w:val="2"/>
        <w:szCs w:val="2"/>
      </w:rPr>
    </w:pPr>
  </w:p>
  <w:p w:rsidR="00110527" w:rsidRDefault="00110527">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110527" w:rsidRPr="005F11F3" w:rsidTr="00110527">
      <w:tblPrEx>
        <w:tblCellMar>
          <w:top w:w="0" w:type="dxa"/>
          <w:bottom w:w="0" w:type="dxa"/>
        </w:tblCellMar>
      </w:tblPrEx>
      <w:trPr>
        <w:trHeight w:hRule="exact" w:val="99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10527" w:rsidRPr="005F11F3" w:rsidRDefault="00110527">
          <w:pPr>
            <w:pStyle w:val="ConsPlusNormal"/>
            <w:rPr>
              <w:rFonts w:ascii="Tahoma" w:eastAsiaTheme="minorEastAsi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110527" w:rsidRPr="005F11F3" w:rsidRDefault="00110527">
          <w:pPr>
            <w:pStyle w:val="ConsPlusNormal"/>
            <w:jc w:val="right"/>
            <w:rPr>
              <w:rFonts w:ascii="Tahoma" w:eastAsiaTheme="minorEastAsia" w:hAnsi="Tahoma" w:cs="Tahoma"/>
              <w:sz w:val="16"/>
              <w:szCs w:val="16"/>
            </w:rPr>
          </w:pPr>
        </w:p>
      </w:tc>
    </w:tr>
  </w:tbl>
  <w:p w:rsidR="00110527" w:rsidRDefault="00110527">
    <w:pPr>
      <w:pStyle w:val="ConsPlusNormal"/>
      <w:pBdr>
        <w:bottom w:val="single" w:sz="12" w:space="0" w:color="auto"/>
      </w:pBdr>
      <w:jc w:val="center"/>
      <w:rPr>
        <w:sz w:val="2"/>
        <w:szCs w:val="2"/>
      </w:rPr>
    </w:pPr>
  </w:p>
  <w:p w:rsidR="00110527" w:rsidRDefault="00110527">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6489"/>
    <w:rsid w:val="00110527"/>
    <w:rsid w:val="001630F2"/>
    <w:rsid w:val="005F11F3"/>
    <w:rsid w:val="00747B6F"/>
    <w:rsid w:val="00D964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semiHidden/>
    <w:unhideWhenUsed/>
    <w:rsid w:val="00110527"/>
    <w:pPr>
      <w:tabs>
        <w:tab w:val="center" w:pos="4677"/>
        <w:tab w:val="right" w:pos="9355"/>
      </w:tabs>
    </w:pPr>
  </w:style>
  <w:style w:type="character" w:customStyle="1" w:styleId="a4">
    <w:name w:val="Верхний колонтитул Знак"/>
    <w:basedOn w:val="a0"/>
    <w:link w:val="a3"/>
    <w:uiPriority w:val="99"/>
    <w:semiHidden/>
    <w:locked/>
    <w:rsid w:val="00110527"/>
    <w:rPr>
      <w:rFonts w:cs="Times New Roman"/>
    </w:rPr>
  </w:style>
  <w:style w:type="paragraph" w:styleId="a5">
    <w:name w:val="footer"/>
    <w:basedOn w:val="a"/>
    <w:link w:val="a6"/>
    <w:uiPriority w:val="99"/>
    <w:semiHidden/>
    <w:unhideWhenUsed/>
    <w:rsid w:val="00110527"/>
    <w:pPr>
      <w:tabs>
        <w:tab w:val="center" w:pos="4677"/>
        <w:tab w:val="right" w:pos="9355"/>
      </w:tabs>
    </w:pPr>
  </w:style>
  <w:style w:type="character" w:customStyle="1" w:styleId="a6">
    <w:name w:val="Нижний колонтитул Знак"/>
    <w:basedOn w:val="a0"/>
    <w:link w:val="a5"/>
    <w:uiPriority w:val="99"/>
    <w:semiHidden/>
    <w:locked/>
    <w:rsid w:val="0011052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1935</Words>
  <Characters>11033</Characters>
  <Application>Microsoft Office Word</Application>
  <DocSecurity>2</DocSecurity>
  <Lines>91</Lines>
  <Paragraphs>25</Paragraphs>
  <ScaleCrop>false</ScaleCrop>
  <Company>КонсультантПлюс Версия 4022.00.55</Company>
  <LinksUpToDate>false</LinksUpToDate>
  <CharactersWithSpaces>12943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19.03.2022 N 411(ред. от 16.08.2024)"Об особенностях государственной регистрации предназначенных для выполнения полетов гражданских воздушных судов в Государственном реестре гражданских воздушных судов Российской Федераци</dc:title>
  <dc:creator>Shamritskaya_IE</dc:creator>
  <cp:lastModifiedBy>efremov_am</cp:lastModifiedBy>
  <cp:revision>2</cp:revision>
  <dcterms:created xsi:type="dcterms:W3CDTF">2024-10-11T07:00:00Z</dcterms:created>
  <dcterms:modified xsi:type="dcterms:W3CDTF">2024-10-11T07:00:00Z</dcterms:modified>
</cp:coreProperties>
</file>