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DD5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DD53BA">
              <w:rPr>
                <w:rFonts w:ascii="Times New Roman" w:eastAsia="Times New Roman" w:hAnsi="Times New Roman"/>
                <w:b/>
                <w:sz w:val="20"/>
                <w:szCs w:val="20"/>
              </w:rPr>
              <w:t>КАЛУГА-КУРГАН-ТЮБЕ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BB2BB7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BB2BB7" w:rsidRPr="00650B9C" w:rsidRDefault="00BB2BB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BB2BB7" w:rsidRPr="00650B9C" w:rsidRDefault="00BB2BB7" w:rsidP="00BB2BB7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B2BB7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BB2BB7" w:rsidRPr="00650B9C" w:rsidRDefault="00BB2BB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BB2BB7" w:rsidRPr="00650B9C" w:rsidRDefault="00BB2BB7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BB2BB7" w:rsidRPr="00650B9C" w:rsidRDefault="00BB2BB7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BB2BB7" w:rsidRPr="00650B9C" w:rsidRDefault="00BB2BB7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BB7" w:rsidRPr="00650B9C" w:rsidRDefault="00BB2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BB7" w:rsidRPr="00650B9C" w:rsidRDefault="00BB2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2268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F02527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6F29" w:rsidRPr="00DC46CB" w:rsidRDefault="00906F29" w:rsidP="00906F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462268" w:rsidRPr="00966EF8" w:rsidRDefault="00906F29" w:rsidP="00906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Калуга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462268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462268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Икар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98,68%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6B00" w:rsidRPr="00966EF8" w:rsidRDefault="00F66B00" w:rsidP="00F66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138/31</w:t>
            </w:r>
          </w:p>
          <w:p w:rsidR="00462268" w:rsidRPr="00DC46CB" w:rsidRDefault="00F66B00" w:rsidP="00F66B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Калуга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F02527" w:rsidRDefault="00462268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AA0409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268" w:rsidRPr="00DC46CB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462268" w:rsidRPr="00650B9C" w:rsidRDefault="0046226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(ДФО-18758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DD5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53BA">
              <w:rPr>
                <w:rFonts w:ascii="Times New Roman" w:eastAsia="Times New Roman" w:hAnsi="Times New Roman"/>
                <w:b/>
                <w:sz w:val="28"/>
                <w:szCs w:val="28"/>
              </w:rPr>
              <w:t>Калуга-Курган-Тюбе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DD5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DD53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52A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52A1">
              <w:rPr>
                <w:rFonts w:ascii="Times New Roman" w:eastAsia="Times New Roman" w:hAnsi="Times New Roman"/>
                <w:sz w:val="24"/>
                <w:szCs w:val="24"/>
              </w:rPr>
              <w:t>98,99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DD53BA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DD53BA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Икар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952A1"/>
    <w:rsid w:val="003E1F59"/>
    <w:rsid w:val="004544B1"/>
    <w:rsid w:val="00462268"/>
    <w:rsid w:val="0056160C"/>
    <w:rsid w:val="00650B9C"/>
    <w:rsid w:val="007B6414"/>
    <w:rsid w:val="007E760C"/>
    <w:rsid w:val="00826CBA"/>
    <w:rsid w:val="00876EE3"/>
    <w:rsid w:val="00906F29"/>
    <w:rsid w:val="00966EF8"/>
    <w:rsid w:val="00970F62"/>
    <w:rsid w:val="00AA0409"/>
    <w:rsid w:val="00AB5628"/>
    <w:rsid w:val="00BB2BB7"/>
    <w:rsid w:val="00C0008B"/>
    <w:rsid w:val="00D44FEE"/>
    <w:rsid w:val="00DD53BA"/>
    <w:rsid w:val="00E20604"/>
    <w:rsid w:val="00EC1931"/>
    <w:rsid w:val="00F02527"/>
    <w:rsid w:val="00F6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