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left"/>
      </w:pPr>
      <w:r/>
    </w:p>
    <w:tbl>
      <w:tblPr>
        <w:tblW w:w="10375" w:type="dxa"/>
        <w:tblInd w:w="-225" w:type="dxa"/>
        <w:tblLayout w:type="fixed"/>
        <w:tblCellMar>
          <w:left w:w="55" w:type="dxa"/>
          <w:top w:w="55" w:type="dxa"/>
          <w:right w:w="55" w:type="dxa"/>
          <w:bottom w:w="55" w:type="dxa"/>
        </w:tblCellMar>
      </w:tblPr>
      <w:tblGrid>
        <w:gridCol w:w="1125"/>
        <w:gridCol w:w="1363"/>
        <w:gridCol w:w="1221"/>
        <w:gridCol w:w="1200"/>
        <w:gridCol w:w="1132"/>
        <w:gridCol w:w="2858"/>
        <w:gridCol w:w="1475"/>
      </w:tblGrid>
      <w:tr>
        <w:trPr>
          <w:trHeight w:val="510"/>
          <w:tblHeader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Normal"/>
              <w:spacing w:before="0"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val="clear" w:fill="auto"/>
              </w:rPr>
              <w:t xml:space="preserve">Учетный номер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Normal"/>
              <w:spacing w:before="0"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val="clear" w:fill="auto"/>
              </w:rPr>
              <w:t xml:space="preserve">Классификация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Normal"/>
              <w:spacing w:before="0"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val="clear" w:fill="auto"/>
              </w:rPr>
              <w:t xml:space="preserve">Дата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Normal"/>
              <w:spacing w:before="0"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val="clear" w:fill="auto"/>
              </w:rPr>
              <w:t xml:space="preserve">Тип ВС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Normal"/>
              <w:spacing w:before="0"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val="clear" w:fill="auto"/>
              </w:rPr>
              <w:t xml:space="preserve">Борт.</w:t>
            </w:r>
          </w:p>
          <w:p>
            <w:pPr>
              <w:pStyle w:val="Normal"/>
              <w:spacing w:before="0"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val="clear" w:fill="auto"/>
              </w:rPr>
              <w:t xml:space="preserve">номер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Normal"/>
              <w:spacing w:before="0"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val="clear" w:fill="auto"/>
              </w:rPr>
              <w:t xml:space="preserve">Характер события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val="clear" w:fill="auto"/>
              </w:rPr>
              <w:t xml:space="preserve">Категория</w:t>
            </w:r>
          </w:p>
          <w:p>
            <w:pPr>
              <w:pStyle w:val="Normal"/>
              <w:spacing w:before="0"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val="clear" w:fill="auto"/>
              </w:rPr>
              <w:t xml:space="preserve">ICAO-CAST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231681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26.03.2023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RRJ-95LR-100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RA-89180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ложная сигнализация о пожаре двигателя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SCF-PP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236901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12.12.2023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Ми-8АМТ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RA-22454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разгерметизация гидросистемы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SCF-NP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240221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с. 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12.01.2024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Як-42Д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RA-42458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выкатывание на пределы ВПП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RE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240642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02.02.2024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Ан-2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RA-01413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угроз столкновения с объектами на земле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CTOL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240721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06.02.2024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AS-355NP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RA-07236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указателя скорости в полете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ICE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240843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12.02.2024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B737-500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RA-73062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повреждение лопаток вентилятора СУ №2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SCF-PP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241183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29.02.2024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B737-500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RA-73036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ложная сигнализации промежуточного положения левой опоры шасси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SCF–NP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241262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04.03.2024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B737-800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RA-73410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невыпуск закрылков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SCF-NP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241301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06.03.2024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B757-200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RA-73354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отках левой гидросистемы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SCF-NP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241322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07.03.2024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B300 (King Air 350)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RA-02796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открытие капота левого двигателя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OTHR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241342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08.03.2024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AS-350B3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RA-04043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указателя скорости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ICE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241343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ПВС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08.03.2024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B737-800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RA-73229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повреждение ВС автомобилем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RAMP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241423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12.03.2024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B737-800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RA-73300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поражение разрядом атмосферного электричества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WSTRW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241424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12.03.2024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CL-600-2В19 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RA-67144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 выпуск закрылков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SCF-NP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241443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ПВС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13.03.2024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RRJ-95B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RA-89108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повреждение ВС автолифтом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RAMP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241481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15.03.2024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B737-500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RA-73037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неуборка левой стойки шасси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SCF-NP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241501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с. 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16.03.2024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DHC-6 Series 400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RA-67296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выкатывание за пределы ВПП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ffff00"/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RE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241721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27.03.2024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A-321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RA-73845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неисправность "зеленой" гидросистемы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SCF-NP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241722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27.03.2024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A-320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RA-73781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неисправность "жёлтой" гидросистемы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SCF-NP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241725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27.03.2024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A-321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RA-73801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столкновение с птицей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BIRD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241724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27.03.2024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B737-800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RA-73665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столкновение с птицами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BIRD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241782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30.03.2024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RRJ-95LR-100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RA-89149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потеря радиосвязи в полете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NAV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241781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30.03.2024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DHC-8-402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RA-67262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падение давления в гермокабине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SCF-NP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241821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01.04.2024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Ан-26Б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RA-26209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сход с ВПП при рулении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LOC-G, ADRM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241844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02.04.2024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B737-800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RA-73188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потеря работоспособности члена экипажа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MED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241841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02.04.2024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EMB-170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RA-02869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невыпуск предкрылков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SCF–NP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241961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08.04.2024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B737-800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RA-73237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потеря радиосвязи в полете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NAV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242181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19.04.2024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B737-800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RA-73304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столкновение с птицей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BIRD</w:t>
            </w:r>
          </w:p>
        </w:tc>
      </w:tr>
      <w:tr>
        <w:trPr>
          <w:trHeight w:val="510"/>
        </w:trPr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242222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инцидент</w:t>
            </w:r>
          </w:p>
        </w:tc>
        <w:tc>
          <w:tcPr>
            <w:tcW w:w="122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21.04.2024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ATR-72-212A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RA-67691</w:t>
            </w:r>
          </w:p>
        </w:tc>
        <w:tc>
          <w:tcPr>
            <w:tcW w:w="28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yle16"/>
              <w:spacing w:before="0" w:after="0"/>
              <w:ind w:left="0" w:right="0"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поражение разрядом атмосферного электричества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yle16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WSTRW</w:t>
            </w:r>
          </w:p>
        </w:tc>
      </w:tr>
    </w:tbl>
    <w:p>
      <w:pPr>
        <w:pStyle w:val="Normal"/>
        <w:jc w:val="left"/>
      </w:pPr>
      <w:r/>
    </w:p>
    <w:sectPr>
      <w:headerReference w:type="default" r:id="rId6"/>
      <w:type w:val="nextPage"/>
      <w:pgSz w:w="11906" w:h="16838"/>
      <w:pgMar w:top="2153" w:right="1134" w:bottom="1134" w:left="1134" w:header="113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Open Sans">
    <w:panose1 w:val="020B0606030504020204"/>
  </w:font>
  <w:font w:name="Lohit Devanagari">
    <w:panose1 w:val="020B0600000000000000"/>
  </w:font>
  <w:font w:name="Droid Sans Fallback">
    <w:panose1 w:val="020B0502000000000001"/>
  </w:font>
  <w:font w:name="Tempora LGC Uni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tabs>
        <w:tab w:val="clear" w:pos="709"/>
        <w:tab w:val="center" w:pos="4677" w:leader="none"/>
        <w:tab w:val="right" w:pos="9355" w:leader="none"/>
      </w:tabs>
      <w:jc w:val="center"/>
      <w:rPr>
        <w:rFonts w:ascii="Liberation Serif" w:hAnsi="Liberation Serif"/>
        <w:sz w:val="32"/>
        <w:szCs w:val="32"/>
      </w:rPr>
    </w:pPr>
    <w:r>
      <w:rPr>
        <w:rFonts w:ascii="Liberation Serif" w:hAnsi="Liberation Serif" w:eastAsia="Times New Roman" w:cs="Times New Roman"/>
        <w:b/>
        <w:sz w:val="32"/>
        <w:szCs w:val="32"/>
        <w:highlight w:val="yellow"/>
      </w:rPr>
      <w:t xml:space="preserve">ЖЕЛТЫМ</w:t>
    </w:r>
    <w:r>
      <w:rPr>
        <w:rFonts w:ascii="Liberation Serif" w:hAnsi="Liberation Serif" w:eastAsia="Times New Roman" w:cs="Times New Roman"/>
        <w:b/>
        <w:sz w:val="32"/>
        <w:szCs w:val="32"/>
      </w:rPr>
      <w:t xml:space="preserve"> цветом отмечены события, </w:t>
      <w:br/>
      <w:t xml:space="preserve">представляющие наибольший интерес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empora LGC Uni" w:hAnsi="Tempora LGC Uni" w:eastAsia="Droid Sans Fallback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pacing w:before="0" w:after="0"/>
      <w:jc w:val="left"/>
    </w:pPr>
    <w:rPr>
      <w:rFonts w:ascii="Tempora LGC Uni" w:hAnsi="Tempora LGC Uni" w:eastAsia="Droid Sans Fallback" w:cs="Lohit Devanagari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off"/>
      <w:suppressLineNumbers/>
    </w:pPr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</w:style>
  <w:style w:type="paragraph" w:styleId="Header">
    <w:name w:val="Header"/>
    <w:basedOn w:val="Style17"/>
    <w:pPr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haracters>2229</Characters>
  <CharactersWithSpaces>2328</CharactersWithSpaces>
  <Pages>2</Pages>
  <Paragraphs>213</Paragraphs>
  <Template/>
  <TotalTime>3</TotalTime>
  <Words>312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Валерий Владимирович Лучинин</cp:lastModifiedBy>
  <cp:revision>3</cp:revision>
  <dcterms:created xsi:type="dcterms:W3CDTF">2024-06-20T10:19:52Z</dcterms:created>
  <dcterms:modified xsi:type="dcterms:W3CDTF">2024-06-21T16:53:08Z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