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0E53E" w14:textId="77777777" w:rsidR="00712F15" w:rsidRDefault="00C801A7">
      <w:pPr>
        <w:spacing w:after="0"/>
        <w:jc w:val="center"/>
        <w:rPr>
          <w:rStyle w:val="tlid-translation"/>
          <w:rFonts w:ascii="Times New Roman" w:hAnsi="Times New Roman" w:cs="Times New Roman"/>
          <w:b/>
          <w:sz w:val="32"/>
          <w:szCs w:val="32"/>
        </w:rPr>
      </w:pPr>
      <w:r>
        <w:rPr>
          <w:rStyle w:val="tlid-translation"/>
          <w:rFonts w:ascii="Times New Roman" w:hAnsi="Times New Roman" w:cs="Times New Roman"/>
          <w:b/>
          <w:sz w:val="32"/>
          <w:szCs w:val="32"/>
        </w:rPr>
        <w:t>Брифинг регионального директора Европейского/Североатлантического бюро ИКАО</w:t>
      </w:r>
    </w:p>
    <w:p w14:paraId="1E4744E1" w14:textId="77777777" w:rsidR="00712F15" w:rsidRDefault="00C801A7">
      <w:pPr>
        <w:spacing w:after="0"/>
        <w:jc w:val="center"/>
        <w:rPr>
          <w:rStyle w:val="tlid-translation"/>
          <w:rFonts w:ascii="Times New Roman" w:hAnsi="Times New Roman" w:cs="Times New Roman"/>
          <w:b/>
          <w:sz w:val="32"/>
          <w:szCs w:val="32"/>
        </w:rPr>
      </w:pPr>
      <w:r>
        <w:rPr>
          <w:rStyle w:val="tlid-translation"/>
          <w:rFonts w:ascii="Times New Roman" w:hAnsi="Times New Roman" w:cs="Times New Roman"/>
          <w:b/>
          <w:sz w:val="32"/>
          <w:szCs w:val="32"/>
        </w:rPr>
        <w:t>г-жи Сильвии Герер</w:t>
      </w:r>
    </w:p>
    <w:p w14:paraId="2F2A3EE9" w14:textId="77777777" w:rsidR="00712F15" w:rsidRDefault="00C801A7">
      <w:pPr>
        <w:spacing w:after="0"/>
        <w:jc w:val="center"/>
        <w:rPr>
          <w:rStyle w:val="tlid-translation"/>
          <w:rFonts w:ascii="Times New Roman" w:hAnsi="Times New Roman" w:cs="Times New Roman"/>
          <w:i/>
          <w:sz w:val="24"/>
          <w:szCs w:val="24"/>
        </w:rPr>
      </w:pPr>
      <w:r>
        <w:rPr>
          <w:rStyle w:val="tlid-translation"/>
          <w:rFonts w:ascii="Times New Roman" w:hAnsi="Times New Roman" w:cs="Times New Roman"/>
          <w:i/>
          <w:sz w:val="24"/>
          <w:szCs w:val="24"/>
        </w:rPr>
        <w:t>(Неофициальный перевод)</w:t>
      </w:r>
    </w:p>
    <w:p w14:paraId="02BC3BF4" w14:textId="77777777" w:rsidR="00712F15" w:rsidRDefault="00712F15">
      <w:pPr>
        <w:spacing w:after="0"/>
        <w:jc w:val="center"/>
        <w:rPr>
          <w:rStyle w:val="tlid-translation"/>
          <w:rFonts w:ascii="Times New Roman" w:hAnsi="Times New Roman" w:cs="Times New Roman"/>
          <w:b/>
          <w:sz w:val="32"/>
          <w:szCs w:val="32"/>
        </w:rPr>
      </w:pPr>
    </w:p>
    <w:p w14:paraId="0A54A1D0" w14:textId="77777777" w:rsidR="00712F15" w:rsidRDefault="00C801A7">
      <w:pPr>
        <w:spacing w:after="0"/>
        <w:ind w:left="360"/>
        <w:jc w:val="both"/>
        <w:rPr>
          <w:rStyle w:val="tlid-translation"/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259292C1" wp14:editId="0314ABC4">
                <wp:extent cx="1666875" cy="2305050"/>
                <wp:effectExtent l="0" t="0" r="9525" b="0"/>
                <wp:docPr id="1" name="_x0000_i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_x0000_i0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66687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31.2pt;height:181.5pt;">
                <v:path textboxrect="0,0,0,0"/>
                <v:imagedata r:id="rId9" o:title=""/>
              </v:shape>
            </w:pict>
          </mc:Fallback>
        </mc:AlternateContent>
      </w:r>
    </w:p>
    <w:p w14:paraId="6BD05572" w14:textId="77777777" w:rsidR="00712F15" w:rsidRDefault="00712F15">
      <w:pPr>
        <w:pStyle w:val="af5"/>
        <w:spacing w:after="0"/>
        <w:ind w:left="1080"/>
        <w:jc w:val="both"/>
        <w:rPr>
          <w:rStyle w:val="tlid-translation"/>
          <w:rFonts w:ascii="Times New Roman" w:hAnsi="Times New Roman" w:cs="Times New Roman"/>
          <w:b/>
          <w:sz w:val="32"/>
          <w:szCs w:val="32"/>
        </w:rPr>
      </w:pPr>
    </w:p>
    <w:p w14:paraId="326ADFAE" w14:textId="77777777" w:rsidR="00712F15" w:rsidRDefault="00C801A7">
      <w:pPr>
        <w:pStyle w:val="af5"/>
        <w:numPr>
          <w:ilvl w:val="0"/>
          <w:numId w:val="3"/>
        </w:numPr>
        <w:spacing w:after="0"/>
        <w:jc w:val="both"/>
        <w:rPr>
          <w:rStyle w:val="tlid-translation"/>
          <w:rFonts w:ascii="Times New Roman" w:hAnsi="Times New Roman" w:cs="Times New Roman"/>
          <w:b/>
          <w:sz w:val="32"/>
          <w:szCs w:val="32"/>
        </w:rPr>
      </w:pPr>
      <w:r>
        <w:rPr>
          <w:rStyle w:val="tlid-translation"/>
          <w:rFonts w:ascii="Times New Roman" w:hAnsi="Times New Roman" w:cs="Times New Roman"/>
          <w:b/>
          <w:sz w:val="32"/>
          <w:szCs w:val="32"/>
        </w:rPr>
        <w:t>Введение</w:t>
      </w:r>
    </w:p>
    <w:p w14:paraId="4913E8B5" w14:textId="77777777" w:rsidR="00712F15" w:rsidRDefault="00712F15">
      <w:pPr>
        <w:pStyle w:val="af5"/>
        <w:spacing w:after="0"/>
        <w:ind w:left="108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BD34112" w14:textId="77777777" w:rsidR="00712F15" w:rsidRDefault="00C801A7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sz w:val="28"/>
          <w:szCs w:val="28"/>
        </w:rPr>
        <w:t>Текущий кризис побудил многие правительства принять беспрецедентные меры</w:t>
      </w:r>
    </w:p>
    <w:p w14:paraId="127416CD" w14:textId="77777777" w:rsidR="00712F15" w:rsidRDefault="00C801A7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sz w:val="28"/>
          <w:szCs w:val="28"/>
        </w:rPr>
        <w:t>по сдерживанию пандемии. Эти первоочередные меры, введенные чрезвычайной ситуацией в области общественного здравоохранения, оставили другие сектора без должного внимания, включая решение вопросов финансирования в гражданской авиации. Наш Регион не является исключением, и нам необходимо срочно привлечь внимание к этой проблеме.</w:t>
      </w:r>
    </w:p>
    <w:p w14:paraId="0A9B5FFD" w14:textId="77777777" w:rsidR="00712F15" w:rsidRDefault="00712F15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</w:p>
    <w:p w14:paraId="05BE1227" w14:textId="77777777" w:rsidR="00712F15" w:rsidRDefault="00C801A7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sz w:val="28"/>
          <w:szCs w:val="28"/>
        </w:rPr>
        <w:t>Наш интерес к финансовым проблемам, с которыми сталкиваются авиационные власти (</w:t>
      </w:r>
      <w:r>
        <w:rPr>
          <w:rStyle w:val="tlid-translation"/>
          <w:rFonts w:ascii="Times New Roman" w:hAnsi="Times New Roman" w:cs="Times New Roman"/>
          <w:sz w:val="28"/>
          <w:szCs w:val="28"/>
          <w:lang w:val="en-US"/>
        </w:rPr>
        <w:t>CAA</w:t>
      </w:r>
      <w:r>
        <w:rPr>
          <w:rStyle w:val="tlid-translation"/>
          <w:rFonts w:ascii="Times New Roman" w:hAnsi="Times New Roman" w:cs="Times New Roman"/>
          <w:sz w:val="28"/>
          <w:szCs w:val="28"/>
        </w:rPr>
        <w:t>), возвращает нас к дискуссии во время встречи генеральных директоров гражданской авиации (DGCA), состоявшейся в 2019 году. При этом COVID-19 подчеркнул их остроту. По этой причине 29 сентября 2020 года Европейское/Североатлантическое бюро ИКАО (EUR/NAT</w:t>
      </w:r>
      <w:r w:rsidR="00B55916">
        <w:rPr>
          <w:rStyle w:val="tlid-translation"/>
          <w:rFonts w:ascii="Times New Roman" w:hAnsi="Times New Roman" w:cs="Times New Roman"/>
          <w:sz w:val="28"/>
          <w:szCs w:val="28"/>
        </w:rPr>
        <w:t xml:space="preserve"> </w:t>
      </w:r>
      <w:r w:rsidR="00B55916">
        <w:rPr>
          <w:rStyle w:val="tlid-translation"/>
          <w:rFonts w:ascii="Times New Roman" w:hAnsi="Times New Roman" w:cs="Times New Roman"/>
          <w:sz w:val="28"/>
          <w:szCs w:val="28"/>
          <w:lang w:val="en-US"/>
        </w:rPr>
        <w:t>ICAO</w:t>
      </w:r>
      <w:r>
        <w:rPr>
          <w:rStyle w:val="tlid-translation"/>
          <w:rFonts w:ascii="Times New Roman" w:hAnsi="Times New Roman" w:cs="Times New Roman"/>
          <w:sz w:val="28"/>
          <w:szCs w:val="28"/>
        </w:rPr>
        <w:t>) провело семинар по устойчивому финансированию государственных органов гражданской авиации. 136 участников из 37 государств, 5 европейских организаций (ЕС, EASA, EUROCONTROL, IAC и ECAC) и 7 отраслевых организаций (IATA, CANSO, ACI Europe, IFATCA, IFAIMA, European Express Association и AviaSafety) приняли участие в этом виртуальном семинаре.</w:t>
      </w:r>
    </w:p>
    <w:p w14:paraId="67CB2035" w14:textId="77777777" w:rsidR="00712F15" w:rsidRDefault="00712F15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</w:p>
    <w:p w14:paraId="769F7A60" w14:textId="77777777" w:rsidR="00712F15" w:rsidRDefault="00C801A7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sz w:val="28"/>
          <w:szCs w:val="28"/>
        </w:rPr>
        <w:t xml:space="preserve">Обсуждения были сосредоточены на проблемах, с которыми сталкиваются власти гражданской авиации в связи с их функциями по обеспечению безопасности, защиты и экономического надзора в период кризиса COVID-19; о передовой практике и извлеченных уроках, а также о том, как совместный подход с отраслевыми, региональными и международными организациями, включая </w:t>
      </w:r>
      <w:r>
        <w:rPr>
          <w:rStyle w:val="tlid-translation"/>
          <w:rFonts w:ascii="Times New Roman" w:hAnsi="Times New Roman" w:cs="Times New Roman"/>
          <w:sz w:val="28"/>
          <w:szCs w:val="28"/>
        </w:rPr>
        <w:lastRenderedPageBreak/>
        <w:t>Региональную организацию по контролю за безопасностью полетов (</w:t>
      </w:r>
      <w:r>
        <w:rPr>
          <w:rStyle w:val="tlid-translation"/>
          <w:rFonts w:ascii="Times New Roman" w:hAnsi="Times New Roman" w:cs="Times New Roman"/>
          <w:sz w:val="28"/>
          <w:szCs w:val="28"/>
          <w:lang w:val="en-US"/>
        </w:rPr>
        <w:t>RSOO</w:t>
      </w:r>
      <w:r>
        <w:rPr>
          <w:rStyle w:val="tlid-translation"/>
          <w:rFonts w:ascii="Times New Roman" w:hAnsi="Times New Roman" w:cs="Times New Roman"/>
          <w:sz w:val="28"/>
          <w:szCs w:val="28"/>
        </w:rPr>
        <w:t>) во время кризиса, может обеспечить эффективные решения на данном пути. Наше региональное бюро находится во взаимодействии с государствами и намерено оказывать дальнейшую помощь. Подготовленный обзор является частью деятельности, рекомендованной DGCA ИКАО EUR/NAT для дальнейшего информирования и поддержки 56 государств, в которых аккредитовано бюро EUR/NAT.</w:t>
      </w:r>
    </w:p>
    <w:p w14:paraId="5F26AF02" w14:textId="77777777" w:rsidR="00712F15" w:rsidRDefault="00712F15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</w:p>
    <w:p w14:paraId="6A14BC8F" w14:textId="77777777" w:rsidR="00712F15" w:rsidRDefault="00C801A7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sz w:val="28"/>
          <w:szCs w:val="28"/>
        </w:rPr>
        <w:t>Наслаждайтесь чтением, давайте оставим диалог открытым.</w:t>
      </w:r>
    </w:p>
    <w:p w14:paraId="3892BC2D" w14:textId="77777777" w:rsidR="00712F15" w:rsidRDefault="00712F15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</w:p>
    <w:p w14:paraId="7049D858" w14:textId="77777777" w:rsidR="00712F15" w:rsidRDefault="00C801A7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sz w:val="28"/>
          <w:szCs w:val="28"/>
        </w:rPr>
        <w:t>Сильвия Герер</w:t>
      </w:r>
    </w:p>
    <w:p w14:paraId="5BFDAB8B" w14:textId="77777777" w:rsidR="00712F15" w:rsidRDefault="00712F15">
      <w:pPr>
        <w:pBdr>
          <w:right w:val="none" w:sz="4" w:space="1" w:color="000000"/>
        </w:pBd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AACBD7" w14:textId="77777777" w:rsidR="00712F15" w:rsidRDefault="00712F15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32"/>
          <w:szCs w:val="32"/>
        </w:rPr>
      </w:pPr>
    </w:p>
    <w:p w14:paraId="0C5AB081" w14:textId="77777777" w:rsidR="00712F15" w:rsidRDefault="00C801A7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b/>
          <w:sz w:val="32"/>
          <w:szCs w:val="32"/>
        </w:rPr>
      </w:pPr>
      <w:r>
        <w:rPr>
          <w:rStyle w:val="tlid-translation"/>
          <w:rFonts w:ascii="Times New Roman" w:hAnsi="Times New Roman" w:cs="Times New Roman"/>
          <w:b/>
          <w:sz w:val="32"/>
          <w:szCs w:val="32"/>
        </w:rPr>
        <w:t>II. Предпосылка</w:t>
      </w:r>
    </w:p>
    <w:p w14:paraId="0E31FD96" w14:textId="77777777" w:rsidR="00712F15" w:rsidRDefault="00712F15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b/>
          <w:sz w:val="32"/>
          <w:szCs w:val="32"/>
        </w:rPr>
      </w:pPr>
    </w:p>
    <w:p w14:paraId="2EDA2A3A" w14:textId="77777777" w:rsidR="00712F15" w:rsidRDefault="00C801A7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sz w:val="28"/>
          <w:szCs w:val="28"/>
        </w:rPr>
        <w:t xml:space="preserve">Тема устойчивого финансирования государственных органов гражданской авиации, безусловно, повлияла на все CAA в регионе EUR/NAT, и эта область у всех нас вызывает серьезное беспокойство. На самом деле наши опасения были высказаны давно. В Париже в марте 2019 года на встрече генеральных директоров EUR/NAT ICAO во время совещания мы затронули эту тему в пункте 5 повестки дня: «Бизнес-план ИКАО и рабочие планы EUR/NAT на 2020-2022 гг., включая приоритеты для регионов EUR/NAT ICAO». </w:t>
      </w:r>
    </w:p>
    <w:p w14:paraId="0292B888" w14:textId="77777777" w:rsidR="00712F15" w:rsidRDefault="00712F15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</w:p>
    <w:p w14:paraId="51BDFB7E" w14:textId="77777777" w:rsidR="00712F15" w:rsidRDefault="00C801A7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sz w:val="28"/>
          <w:szCs w:val="28"/>
        </w:rPr>
        <w:t>Генеральным директорам были представлены различные презентации, в которых описывались основные проблемы, с которыми сталкиваются в области устойчивого доступа к финансовым ресурсам и квалифицированному персоналу, чтобы обеспечить эффективное выполнение государствами функций по обеспечению безопасности полетов, авиационной безопасности и экономическому надзору.</w:t>
      </w:r>
    </w:p>
    <w:p w14:paraId="0065F290" w14:textId="77777777" w:rsidR="00712F15" w:rsidRDefault="00712F15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</w:p>
    <w:p w14:paraId="62172400" w14:textId="77777777" w:rsidR="00712F15" w:rsidRDefault="00C801A7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sz w:val="28"/>
          <w:szCs w:val="28"/>
        </w:rPr>
        <w:t>В рабочем документе, совместно подготовленном офисом EUR/NAT и Государственной авиационной администрацией Украины, этот вопрос был включен в повестку 40-й Ассамблее ИКАО в сентябре 2019 года.</w:t>
      </w:r>
    </w:p>
    <w:p w14:paraId="2CCCFBDB" w14:textId="77777777" w:rsidR="00712F15" w:rsidRDefault="00712F15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</w:p>
    <w:p w14:paraId="4EE6B8FB" w14:textId="77777777" w:rsidR="00712F15" w:rsidRDefault="00C801A7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sz w:val="28"/>
          <w:szCs w:val="28"/>
        </w:rPr>
        <w:t>EUR/NAT DGCA также постановил, что региональный директор EUR/NAT ICAO в сотрудничестве с другими международными организациями и государствами должен организовать в 2019 году специальный семинар, посвященный устойчивому финансированию государств CAA. Мероприятие было перенесено на 2020 год, так как до конца 2019 года его не удалось организовать.</w:t>
      </w:r>
    </w:p>
    <w:p w14:paraId="04534669" w14:textId="77777777" w:rsidR="00712F15" w:rsidRDefault="00712F15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</w:p>
    <w:p w14:paraId="09C0D9BA" w14:textId="77777777" w:rsidR="00712F15" w:rsidRDefault="00C801A7">
      <w:pPr>
        <w:pBdr>
          <w:right w:val="none" w:sz="4" w:space="1" w:color="000000"/>
        </w:pBd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sz w:val="28"/>
          <w:szCs w:val="28"/>
        </w:rPr>
        <w:lastRenderedPageBreak/>
        <w:t>Вспышка COVID-19 повлияла на наши программы в начале этого года, заставив нас адаптироваться при выстраивании совместного взаимодействия друг с другом, а также встретиться виртуально на семинаре 29 сентября.</w:t>
      </w:r>
    </w:p>
    <w:p w14:paraId="466D7529" w14:textId="77777777" w:rsidR="00712F15" w:rsidRDefault="00712F15">
      <w:pP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</w:p>
    <w:p w14:paraId="70346F66" w14:textId="77777777" w:rsidR="00712F15" w:rsidRDefault="00C801A7">
      <w:pPr>
        <w:spacing w:after="0"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sz w:val="28"/>
          <w:szCs w:val="28"/>
        </w:rPr>
        <w:t xml:space="preserve">На семинаре один из наших органов гражданской авиации поделился информацией и опытом - это свидетельствовало об их доверии. По этой </w:t>
      </w:r>
      <w:hyperlink r:id="rId10" w:history="1">
        <w:r w:rsidR="00B55916" w:rsidRPr="00B55916">
          <w:rPr>
            <w:rStyle w:val="af4"/>
            <w:rFonts w:ascii="Times New Roman" w:hAnsi="Times New Roman" w:cs="Times New Roman"/>
            <w:sz w:val="28"/>
            <w:szCs w:val="28"/>
          </w:rPr>
          <w:t>ссылке</w:t>
        </w:r>
      </w:hyperlink>
      <w:r w:rsidR="00B55916">
        <w:rPr>
          <w:rStyle w:val="tlid-translation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tlid-translation"/>
          <w:rFonts w:ascii="Times New Roman" w:hAnsi="Times New Roman" w:cs="Times New Roman"/>
          <w:sz w:val="28"/>
          <w:szCs w:val="28"/>
        </w:rPr>
        <w:t>можно найти их презентации, описывающие их действия, цифры и решения, которые они предприняли за последние месяцы, когда наш сектор сильно пострадал.</w:t>
      </w:r>
    </w:p>
    <w:p w14:paraId="26A27D2A" w14:textId="77777777" w:rsidR="00712F15" w:rsidRDefault="00712F15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2A87752" w14:textId="77777777" w:rsidR="00712F15" w:rsidRDefault="00C801A7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III. Выводы и действия</w:t>
      </w:r>
    </w:p>
    <w:p w14:paraId="53F64E11" w14:textId="77777777" w:rsidR="00712F15" w:rsidRDefault="00712F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1DD4BE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Обсуждения во время семинара подтвердили следующие понимания:</w:t>
      </w:r>
    </w:p>
    <w:p w14:paraId="32774C73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5BC9FEF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Устойчивое финансирование CAA - это существующая и постоянная проблема, которая может иметь последствия для безопасности полетов. До начала 2020 года авиационный сектор перешел от ситуации быстрого роста, когда CAA было трудно успевать за ростом спроса, к ситуации глубокой рецессии, вызванной пандемией COVID-19.</w:t>
      </w:r>
    </w:p>
    <w:p w14:paraId="50506A97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1609BC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Вспышка пандемии затронула сектор воздушного транспорта, и ее последствия были особенно острыми для финансов развивающихся стран и государств, не имеющих выхода к морю, с недостаточным объемом перевозок и/или ограниченными финансовыми ресурсами. Это привело к серьезным и пагубным последствиям для CAA, авиакомпаний, аэропортов и индустрии авиационного туризма во всем мире.</w:t>
      </w:r>
    </w:p>
    <w:p w14:paraId="408033D5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51579C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После фаз перезапуска и восстановления после COVID-19, вероятно, ситуация в отрасли не будет такой же, как раньше (банкротства, увольнения, консолидации и конкуренция за государственное финансирование со стороны различных секторов). Мы должны смотреть вперед и адаптировать новые модели финансирования, которые поддерживают будущее сектора, поддерживая или углубляя требуемую независимость САА от национальных правительств. В этом смысле следует определить как краткосрочные, так и долгосрочные новые вспомогательные меры и финансовые модели, включая диверсификацию источников финансирования и наличие государственного резервного финансирования, чтобы обеспечить солидарность,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устойчивость и эффективное функционирование национальных САА.</w:t>
      </w:r>
    </w:p>
    <w:p w14:paraId="789ABE5B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859C39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Государства и заинтересованные стороны в сфере авиации должны попытаться повысить уровень устойчивости системы, сосредоточив внимание на сотрудничестве, сравнительном анализе, обмене мнениями и передовым опытом и </w:t>
      </w:r>
      <w:r>
        <w:rPr>
          <w:rFonts w:ascii="Times New Roman" w:hAnsi="Times New Roman" w:cs="Times New Roman"/>
          <w:sz w:val="28"/>
          <w:szCs w:val="28"/>
        </w:rPr>
        <w:lastRenderedPageBreak/>
        <w:t>обсуждении новых решений, которые, по-видимому, указывают на более устойчивый путь, чем тот, который сейчас выбирают некоторые CAA.</w:t>
      </w:r>
    </w:p>
    <w:p w14:paraId="17C71798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BE0D060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ИКАО, региональные и глобальные организации (включая RSOO) играют чрезвычайно важную роль в этом отношении, поскольку они являются подходящим форумом для того, чтобы добиться успешного сотрудничества между государствами, отраслью и всеми заинтересованными сторонами в цепочке создания стоимости. В этом смысле региональному директору EUR/NAT ICAO настоятельно рекомендовано/поручено продолжить работу по устойчивому финансированию CAA и укреплению сотрудничества между соответствующими заинтересованными сторонами.</w:t>
      </w:r>
    </w:p>
    <w:p w14:paraId="0AA6C886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676165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RSOO и расширенное сотрудничество/взаимодействие между государствами - это альтернативные средства решения выявленных финансовых трудностей как в обычной, так и в текущей непредвиденной ситуации. С этой целью государствам предлагается рассмотреть возможность объединения своих усилий и ресурсов либо через механизмы RSOO, либо через прямые соглашения с другими государствами, чтобы позволить объединение и совместное использование ресурсов (например, квалифицированный инспекторский персонал, обучение и т.д.), или через Глобальную систему надзора за безопасностью полетов (GASOS).</w:t>
      </w:r>
    </w:p>
    <w:p w14:paraId="081039AF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81A7D1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Чтобы предоставить государствам нужную информацию и инструменты для более эффективной поддержки их внутренних стратегий и процессов принятия решений, важно понять и продемонстрировать структуры финансирования и доступные ресурсы для CAA в регионах EUR/NAT. По этой причине EUR/NAT ICAO настоятельно рекомендовано/поручено собирать соответствующую информацию посредством анонимного опроса и предоставлять данные государствам EUR/NAT.</w:t>
      </w:r>
    </w:p>
    <w:p w14:paraId="160FF470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213BBC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Поэтому EUR/NAT ICAO настоятельно рекомендует/поручает:</w:t>
      </w:r>
    </w:p>
    <w:p w14:paraId="7EFD8D56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2407C3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Продолжить работу по повышению осведомленности и наращиванию потенциала по мере необходимости, включая вебинары, семинары и другие информационные мероприятия;</w:t>
      </w:r>
    </w:p>
    <w:p w14:paraId="614AB6DA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Содействовать пониманию влияния COVID-19 на финансирование САА, а также сотрудничество и обмен ноу-хау между государствами и соответствующими заинтересованными сторонами;</w:t>
      </w:r>
    </w:p>
    <w:p w14:paraId="0A55C26F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Довести тему финансовых проблем САА до сведения соответствующих форумов (Конференция высокого уровня по безопасности полётов (HLSC), соответствующие группы ИКАО и т. д.), если это будет признано необходимым;</w:t>
      </w:r>
    </w:p>
    <w:p w14:paraId="1710CBC2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658420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г. Поддержать на национальном уровне САА, акцентируя важность устойчивого финансирования САА на правительственном уровне, и сектор воздушного транспорта для национальной экономики;</w:t>
      </w:r>
    </w:p>
    <w:p w14:paraId="238AB7BD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B787BB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Рассмотреть возможность создания сети с соответствующими организациями и финансовыми учреждениями для определения того, какие инструменты потребуются государствам для принятия более эффективных и информированных решений для поддержки устойчивого финансирования САА и их контроля возможностей, как в ближайшей, так и в долгосрочной перспективе, в зависимости от выделенных ресурсов, доступных для EUR/NAT ICAO.</w:t>
      </w:r>
    </w:p>
    <w:p w14:paraId="6ADEE201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912EBD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Вышеупомянутые выводы будут представлены для обсуждения и принятия</w:t>
      </w:r>
    </w:p>
    <w:p w14:paraId="73BAAB33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решений на заседании DGCA ИКАО EUR / NAT 20 октября 2020 года.</w:t>
      </w:r>
    </w:p>
    <w:p w14:paraId="5B46B99D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34BA011" w14:textId="77777777" w:rsidR="00712F15" w:rsidRDefault="00C801A7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IV. ОБУЧЕНИЕ EUR/NAT, СЕМИНАРЫ И ВЕБИНАРЫ</w:t>
      </w:r>
    </w:p>
    <w:p w14:paraId="47487275" w14:textId="77777777" w:rsidR="00712F15" w:rsidRDefault="00712F1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5BDAE1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Документация по семинару </w:t>
      </w:r>
      <w:r>
        <w:rPr>
          <w:rFonts w:ascii="Times New Roman" w:hAnsi="Times New Roman" w:cs="Times New Roman"/>
          <w:sz w:val="28"/>
          <w:szCs w:val="28"/>
          <w:lang w:val="en-US"/>
        </w:rPr>
        <w:t>EUR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NAT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ICAO</w:t>
      </w:r>
      <w:r>
        <w:rPr>
          <w:rFonts w:ascii="Times New Roman" w:hAnsi="Times New Roman" w:cs="Times New Roman"/>
          <w:sz w:val="28"/>
          <w:szCs w:val="28"/>
        </w:rPr>
        <w:t xml:space="preserve"> по устойчивому финансированию государств САА - </w:t>
      </w:r>
      <w:hyperlink r:id="rId11" w:tooltip="https://www.icao.int/eurnat/other%20meetings%20seminars%20and%20workshops/forms/allitems.aspx?RootFolder=%2FEURNAT%2FOther%20Meetings%20Seminars%20and%20Workshops%2F2020%20ICAO%20EUR%2DNAT%20SUSTAINABLE%20FUNDING%20OF%20STATES%20CIVIL%20AVIATION%20AUTHORITIES%" w:history="1">
        <w:r>
          <w:rPr>
            <w:rStyle w:val="af4"/>
            <w:rFonts w:ascii="Times New Roman" w:hAnsi="Times New Roman" w:cs="Times New Roman"/>
            <w:sz w:val="28"/>
            <w:szCs w:val="28"/>
          </w:rPr>
          <w:t>ссылка</w:t>
        </w:r>
      </w:hyperlink>
    </w:p>
    <w:p w14:paraId="7BE8C48C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C934C2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EUR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NAT</w:t>
      </w:r>
      <w:r>
        <w:rPr>
          <w:rFonts w:ascii="Times New Roman" w:hAnsi="Times New Roman" w:cs="Times New Roman"/>
          <w:sz w:val="28"/>
          <w:szCs w:val="28"/>
        </w:rPr>
        <w:t xml:space="preserve"> Обновления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>
        <w:rPr>
          <w:rFonts w:ascii="Times New Roman" w:hAnsi="Times New Roman" w:cs="Times New Roman"/>
          <w:sz w:val="28"/>
          <w:szCs w:val="28"/>
        </w:rPr>
        <w:t>-19/</w:t>
      </w:r>
      <w:r>
        <w:rPr>
          <w:rFonts w:ascii="Times New Roman" w:hAnsi="Times New Roman" w:cs="Times New Roman"/>
          <w:sz w:val="28"/>
          <w:szCs w:val="28"/>
          <w:lang w:val="en-US"/>
        </w:rPr>
        <w:t>CAPSCA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EUR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12" w:tooltip="https://www.icao.int/EURNAT/Pages/EUR-and-NAT-Document.aspx?RootFolder=%2FEURNAT%2FEUR%20and%20NAT%20Documents%2FCOVID%2019%20Updates%2D%20CAPSCA%20EUR" w:history="1">
        <w:r>
          <w:rPr>
            <w:rStyle w:val="af4"/>
            <w:rFonts w:ascii="Times New Roman" w:hAnsi="Times New Roman" w:cs="Times New Roman"/>
            <w:sz w:val="28"/>
            <w:szCs w:val="28"/>
          </w:rPr>
          <w:t>ссылка</w:t>
        </w:r>
      </w:hyperlink>
    </w:p>
    <w:p w14:paraId="60F9C0BB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639FFF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Расписание мероприятий </w:t>
      </w:r>
      <w:r>
        <w:rPr>
          <w:rFonts w:ascii="Times New Roman" w:hAnsi="Times New Roman" w:cs="Times New Roman"/>
          <w:sz w:val="28"/>
          <w:szCs w:val="28"/>
          <w:lang w:val="en-US"/>
        </w:rPr>
        <w:t>EUR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NAT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13" w:tooltip="https://www.icao.int/EURNAT/Pages/meetings.aspx" w:history="1">
        <w:r>
          <w:rPr>
            <w:rStyle w:val="af4"/>
            <w:rFonts w:ascii="Times New Roman" w:hAnsi="Times New Roman" w:cs="Times New Roman"/>
            <w:sz w:val="28"/>
            <w:szCs w:val="28"/>
          </w:rPr>
          <w:t>ссылка</w:t>
        </w:r>
      </w:hyperlink>
    </w:p>
    <w:p w14:paraId="50FDE036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8F6B02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Вебинары ИКАО – </w:t>
      </w:r>
      <w:hyperlink r:id="rId14" w:tooltip="https://www.icao.int/Meetings/webinar-series/Lists/WebinarSeries/AllItems.aspx" w:history="1">
        <w:r>
          <w:rPr>
            <w:rStyle w:val="af4"/>
            <w:rFonts w:ascii="Times New Roman" w:hAnsi="Times New Roman" w:cs="Times New Roman"/>
            <w:sz w:val="28"/>
            <w:szCs w:val="28"/>
          </w:rPr>
          <w:t>ссылка</w:t>
        </w:r>
      </w:hyperlink>
    </w:p>
    <w:p w14:paraId="3708FB14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94EF73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Платформа ИКАО по реагированию и восстановлению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COVID-19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15" w:tooltip="https://www.icao.int/covid/Pages/default.aspx" w:history="1">
        <w:r>
          <w:rPr>
            <w:rStyle w:val="af4"/>
            <w:rFonts w:ascii="Times New Roman" w:hAnsi="Times New Roman" w:cs="Times New Roman"/>
            <w:sz w:val="28"/>
            <w:szCs w:val="28"/>
          </w:rPr>
          <w:t>ссылка</w:t>
        </w:r>
      </w:hyperlink>
    </w:p>
    <w:p w14:paraId="62B31007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7AC320" w14:textId="77777777" w:rsidR="00712F15" w:rsidRDefault="00712F15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29C494A" w14:textId="77777777" w:rsidR="00712F15" w:rsidRDefault="00712F15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0B46B3B" w14:textId="77777777" w:rsidR="00712F15" w:rsidRDefault="00712F15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4829DFD" w14:textId="77777777" w:rsidR="00712F15" w:rsidRDefault="00712F15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1F3A770" w14:textId="77777777" w:rsidR="00712F15" w:rsidRDefault="00C801A7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V. Команда EUR/NAT</w:t>
      </w:r>
    </w:p>
    <w:p w14:paraId="1B6B33D4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B01212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настоящего обзора:</w:t>
      </w:r>
    </w:p>
    <w:p w14:paraId="4FB2365F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DCC1D8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A051B16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ED0DDC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4B0E33C7" wp14:editId="7AE52E43">
                <wp:extent cx="1286929" cy="187642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286929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101.3pt;height:147.8pt;">
                <v:path textboxrect="0,0,0,0"/>
                <v:imagedata r:id="rId17" o:title=""/>
              </v:shape>
            </w:pict>
          </mc:Fallback>
        </mc:AlternateContent>
      </w:r>
    </w:p>
    <w:p w14:paraId="01398CDD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DDA8E5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Сарантис Пулименакос - Региональный сотрудник по внедрению аэронавигационных систем, руководитель программы по технической помощи ИКАО EUR/NAT</w:t>
      </w:r>
    </w:p>
    <w:p w14:paraId="2DA50BEC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FC71A97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52CB06F" wp14:editId="5E7961F9">
                <wp:extent cx="1504950" cy="2104267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508144" cy="2108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118.5pt;height:165.7pt;">
                <v:path textboxrect="0,0,0,0"/>
                <v:imagedata r:id="rId19" o:title=""/>
              </v:shape>
            </w:pict>
          </mc:Fallback>
        </mc:AlternateContent>
      </w:r>
    </w:p>
    <w:p w14:paraId="0453D762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F7A6F22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Кэтрин Дейли - Секретарь ИКАО EUR / NAT</w:t>
      </w:r>
    </w:p>
    <w:p w14:paraId="370620BD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22C965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1B06A84" wp14:editId="17F33AB9">
                <wp:extent cx="1590675" cy="188595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59067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125.2pt;height:148.5pt;">
                <v:path textboxrect="0,0,0,0"/>
                <v:imagedata r:id="rId21" o:title=""/>
              </v:shape>
            </w:pict>
          </mc:Fallback>
        </mc:AlternateContent>
      </w:r>
    </w:p>
    <w:p w14:paraId="2E94D181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3602FB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Берк Бозкурт - Региональный специалист по внедрению систем аэронавигации (прикомандированный) ИКАО EUR/NAT</w:t>
      </w:r>
    </w:p>
    <w:p w14:paraId="191D103F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04ED6F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15816B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F12D001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69208CEB" wp14:editId="20CAF8AD">
                <wp:extent cx="1747505" cy="2190750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8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747505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137.6pt;height:172.5pt;">
                <v:path textboxrect="0,0,0,0"/>
                <v:imagedata r:id="rId23" o:title=""/>
              </v:shape>
            </w:pict>
          </mc:Fallback>
        </mc:AlternateContent>
      </w:r>
    </w:p>
    <w:p w14:paraId="3FC2AEB3" w14:textId="77777777" w:rsidR="00712F15" w:rsidRDefault="00712F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B4D814" w14:textId="77777777" w:rsidR="00712F15" w:rsidRDefault="00C80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Каролина Рамирес Таборда - Консультант по управлению изменениями и коммуникациями ИКАО EUR/NAT</w:t>
      </w:r>
      <w:r w:rsidR="009D0242">
        <w:rPr>
          <w:rFonts w:ascii="Times New Roman" w:hAnsi="Times New Roman" w:cs="Times New Roman"/>
          <w:sz w:val="28"/>
          <w:szCs w:val="28"/>
        </w:rPr>
        <w:t>.</w:t>
      </w:r>
    </w:p>
    <w:p w14:paraId="76D242F1" w14:textId="77777777" w:rsidR="009D0242" w:rsidRDefault="009D02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5F02EB" w14:textId="77777777" w:rsidR="009D0242" w:rsidRPr="009D0242" w:rsidRDefault="009D0242" w:rsidP="009D02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242">
        <w:rPr>
          <w:rFonts w:ascii="Times New Roman" w:hAnsi="Times New Roman" w:cs="Times New Roman"/>
          <w:sz w:val="28"/>
          <w:szCs w:val="28"/>
        </w:rPr>
        <w:t xml:space="preserve">Следующий </w:t>
      </w:r>
      <w:r>
        <w:rPr>
          <w:rFonts w:ascii="Times New Roman" w:hAnsi="Times New Roman" w:cs="Times New Roman"/>
          <w:sz w:val="28"/>
          <w:szCs w:val="28"/>
        </w:rPr>
        <w:t xml:space="preserve">отчет RD Brief будет выпущен 27 </w:t>
      </w:r>
      <w:r w:rsidRPr="009D0242">
        <w:rPr>
          <w:rFonts w:ascii="Times New Roman" w:hAnsi="Times New Roman" w:cs="Times New Roman"/>
          <w:sz w:val="28"/>
          <w:szCs w:val="28"/>
        </w:rPr>
        <w:t xml:space="preserve">октября 2020 года. </w:t>
      </w:r>
      <w:r>
        <w:rPr>
          <w:rFonts w:ascii="Times New Roman" w:hAnsi="Times New Roman" w:cs="Times New Roman"/>
          <w:sz w:val="28"/>
          <w:szCs w:val="28"/>
        </w:rPr>
        <w:t xml:space="preserve">Основное внимание будет уделено </w:t>
      </w:r>
      <w:r w:rsidRPr="009D0242">
        <w:rPr>
          <w:rFonts w:ascii="Times New Roman" w:hAnsi="Times New Roman" w:cs="Times New Roman"/>
          <w:sz w:val="28"/>
          <w:szCs w:val="28"/>
        </w:rPr>
        <w:t>роли и работе Группы по авиационной безопасности</w:t>
      </w:r>
    </w:p>
    <w:p w14:paraId="06FFFCD1" w14:textId="77777777" w:rsidR="009D0242" w:rsidRDefault="009D0242" w:rsidP="009D02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242">
        <w:rPr>
          <w:rFonts w:ascii="Times New Roman" w:hAnsi="Times New Roman" w:cs="Times New Roman"/>
          <w:sz w:val="28"/>
          <w:szCs w:val="28"/>
        </w:rPr>
        <w:t>Европы и Северной Атлантики (ENAVSECG).</w:t>
      </w:r>
    </w:p>
    <w:sectPr w:rsidR="009D0242">
      <w:headerReference w:type="default" r:id="rId24"/>
      <w:pgSz w:w="11906" w:h="16838"/>
      <w:pgMar w:top="426" w:right="566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D4EA27" w14:textId="77777777" w:rsidR="00C801A7" w:rsidRDefault="00C801A7">
      <w:pPr>
        <w:spacing w:after="0" w:line="240" w:lineRule="auto"/>
      </w:pPr>
      <w:r>
        <w:separator/>
      </w:r>
    </w:p>
  </w:endnote>
  <w:endnote w:type="continuationSeparator" w:id="0">
    <w:p w14:paraId="57209A31" w14:textId="77777777" w:rsidR="00C801A7" w:rsidRDefault="00C80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A8F38B" w14:textId="77777777" w:rsidR="00C801A7" w:rsidRDefault="00C801A7">
      <w:pPr>
        <w:spacing w:after="0" w:line="240" w:lineRule="auto"/>
      </w:pPr>
      <w:r>
        <w:separator/>
      </w:r>
    </w:p>
  </w:footnote>
  <w:footnote w:type="continuationSeparator" w:id="0">
    <w:p w14:paraId="5351693D" w14:textId="77777777" w:rsidR="00C801A7" w:rsidRDefault="00C80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4519567"/>
      <w:docPartObj>
        <w:docPartGallery w:val="Page Numbers (Top of Page)"/>
        <w:docPartUnique/>
      </w:docPartObj>
    </w:sdtPr>
    <w:sdtEndPr/>
    <w:sdtContent>
      <w:p w14:paraId="5561AA54" w14:textId="77777777" w:rsidR="00712F15" w:rsidRDefault="00C801A7">
        <w:pPr>
          <w:pStyle w:val="1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0242">
          <w:rPr>
            <w:noProof/>
          </w:rPr>
          <w:t>7</w:t>
        </w:r>
        <w:r>
          <w:fldChar w:fldCharType="end"/>
        </w:r>
      </w:p>
    </w:sdtContent>
  </w:sdt>
  <w:p w14:paraId="1ED04670" w14:textId="77777777" w:rsidR="00712F15" w:rsidRDefault="00712F15">
    <w:pPr>
      <w:pStyle w:val="1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11CA3"/>
    <w:multiLevelType w:val="hybridMultilevel"/>
    <w:tmpl w:val="A280B650"/>
    <w:lvl w:ilvl="0" w:tplc="AA1EE51E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723CC86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3B4CAA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BC6F8B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7A62A5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496573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DD8C36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BB8E82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69270F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7C13350"/>
    <w:multiLevelType w:val="hybridMultilevel"/>
    <w:tmpl w:val="82047240"/>
    <w:lvl w:ilvl="0" w:tplc="9134FCE0">
      <w:start w:val="1"/>
      <w:numFmt w:val="decimal"/>
      <w:lvlText w:val="%1."/>
      <w:lvlJc w:val="left"/>
      <w:pPr>
        <w:ind w:left="720" w:hanging="360"/>
      </w:pPr>
    </w:lvl>
    <w:lvl w:ilvl="1" w:tplc="B686C970">
      <w:start w:val="1"/>
      <w:numFmt w:val="lowerLetter"/>
      <w:lvlText w:val="%2."/>
      <w:lvlJc w:val="left"/>
      <w:pPr>
        <w:ind w:left="1440" w:hanging="360"/>
      </w:pPr>
    </w:lvl>
    <w:lvl w:ilvl="2" w:tplc="5B9E224C">
      <w:start w:val="1"/>
      <w:numFmt w:val="lowerRoman"/>
      <w:lvlText w:val="%3."/>
      <w:lvlJc w:val="right"/>
      <w:pPr>
        <w:ind w:left="2160" w:hanging="180"/>
      </w:pPr>
    </w:lvl>
    <w:lvl w:ilvl="3" w:tplc="1BDAEF3C">
      <w:start w:val="1"/>
      <w:numFmt w:val="decimal"/>
      <w:lvlText w:val="%4."/>
      <w:lvlJc w:val="left"/>
      <w:pPr>
        <w:ind w:left="2880" w:hanging="360"/>
      </w:pPr>
    </w:lvl>
    <w:lvl w:ilvl="4" w:tplc="72EA02CA">
      <w:start w:val="1"/>
      <w:numFmt w:val="lowerLetter"/>
      <w:lvlText w:val="%5."/>
      <w:lvlJc w:val="left"/>
      <w:pPr>
        <w:ind w:left="3600" w:hanging="360"/>
      </w:pPr>
    </w:lvl>
    <w:lvl w:ilvl="5" w:tplc="4BB6FB06">
      <w:start w:val="1"/>
      <w:numFmt w:val="lowerRoman"/>
      <w:lvlText w:val="%6."/>
      <w:lvlJc w:val="right"/>
      <w:pPr>
        <w:ind w:left="4320" w:hanging="180"/>
      </w:pPr>
    </w:lvl>
    <w:lvl w:ilvl="6" w:tplc="B2863868">
      <w:start w:val="1"/>
      <w:numFmt w:val="decimal"/>
      <w:lvlText w:val="%7."/>
      <w:lvlJc w:val="left"/>
      <w:pPr>
        <w:ind w:left="5040" w:hanging="360"/>
      </w:pPr>
    </w:lvl>
    <w:lvl w:ilvl="7" w:tplc="5D808214">
      <w:start w:val="1"/>
      <w:numFmt w:val="lowerLetter"/>
      <w:lvlText w:val="%8."/>
      <w:lvlJc w:val="left"/>
      <w:pPr>
        <w:ind w:left="5760" w:hanging="360"/>
      </w:pPr>
    </w:lvl>
    <w:lvl w:ilvl="8" w:tplc="C570EED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4723E"/>
    <w:multiLevelType w:val="hybridMultilevel"/>
    <w:tmpl w:val="E4CCFB18"/>
    <w:lvl w:ilvl="0" w:tplc="65D2B0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F0EBC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80D8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AC49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8AD1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7AF2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1C1A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FADC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BACC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AF6879"/>
    <w:multiLevelType w:val="hybridMultilevel"/>
    <w:tmpl w:val="94668EA4"/>
    <w:lvl w:ilvl="0" w:tplc="BE66CB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8CFC1C92">
      <w:start w:val="1"/>
      <w:numFmt w:val="lowerLetter"/>
      <w:lvlText w:val="%2."/>
      <w:lvlJc w:val="left"/>
      <w:pPr>
        <w:ind w:left="1440" w:hanging="360"/>
      </w:pPr>
    </w:lvl>
    <w:lvl w:ilvl="2" w:tplc="6A9663B0">
      <w:start w:val="1"/>
      <w:numFmt w:val="lowerRoman"/>
      <w:lvlText w:val="%3."/>
      <w:lvlJc w:val="right"/>
      <w:pPr>
        <w:ind w:left="2160" w:hanging="180"/>
      </w:pPr>
    </w:lvl>
    <w:lvl w:ilvl="3" w:tplc="E01EA21A">
      <w:start w:val="1"/>
      <w:numFmt w:val="decimal"/>
      <w:lvlText w:val="%4."/>
      <w:lvlJc w:val="left"/>
      <w:pPr>
        <w:ind w:left="2880" w:hanging="360"/>
      </w:pPr>
    </w:lvl>
    <w:lvl w:ilvl="4" w:tplc="485C51A0">
      <w:start w:val="1"/>
      <w:numFmt w:val="lowerLetter"/>
      <w:lvlText w:val="%5."/>
      <w:lvlJc w:val="left"/>
      <w:pPr>
        <w:ind w:left="3600" w:hanging="360"/>
      </w:pPr>
    </w:lvl>
    <w:lvl w:ilvl="5" w:tplc="CC6E30CE">
      <w:start w:val="1"/>
      <w:numFmt w:val="lowerRoman"/>
      <w:lvlText w:val="%6."/>
      <w:lvlJc w:val="right"/>
      <w:pPr>
        <w:ind w:left="4320" w:hanging="180"/>
      </w:pPr>
    </w:lvl>
    <w:lvl w:ilvl="6" w:tplc="DF4ACAC2">
      <w:start w:val="1"/>
      <w:numFmt w:val="decimal"/>
      <w:lvlText w:val="%7."/>
      <w:lvlJc w:val="left"/>
      <w:pPr>
        <w:ind w:left="5040" w:hanging="360"/>
      </w:pPr>
    </w:lvl>
    <w:lvl w:ilvl="7" w:tplc="2E28FEBC">
      <w:start w:val="1"/>
      <w:numFmt w:val="lowerLetter"/>
      <w:lvlText w:val="%8."/>
      <w:lvlJc w:val="left"/>
      <w:pPr>
        <w:ind w:left="5760" w:hanging="360"/>
      </w:pPr>
    </w:lvl>
    <w:lvl w:ilvl="8" w:tplc="1772B9F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85CCF"/>
    <w:multiLevelType w:val="hybridMultilevel"/>
    <w:tmpl w:val="8D00D87C"/>
    <w:lvl w:ilvl="0" w:tplc="CF267BC4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8EEEED04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5156D058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7E284182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77103446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C192A8FA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A324046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92238A6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C68A24F2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2F15"/>
    <w:rsid w:val="0011409D"/>
    <w:rsid w:val="00712F15"/>
    <w:rsid w:val="009D0242"/>
    <w:rsid w:val="00B55916"/>
    <w:rsid w:val="00C8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17EE1"/>
  <w15:docId w15:val="{9C3CA833-F79D-5943-86B0-F8972C8C6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 w:themeColor="accent1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paragraph" w:styleId="a3">
    <w:name w:val="header"/>
    <w:basedOn w:val="a"/>
    <w:link w:val="10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4">
    <w:name w:val="footer"/>
    <w:basedOn w:val="a"/>
    <w:link w:val="11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5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paragraph" w:customStyle="1" w:styleId="110">
    <w:name w:val="Заголовок 11"/>
    <w:basedOn w:val="a"/>
    <w:next w:val="a"/>
    <w:link w:val="Heading1Ch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0"/>
    <w:uiPriority w:val="9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Pr>
      <w:rFonts w:ascii="Arial" w:eastAsia="Arial" w:hAnsi="Arial" w:cs="Arial"/>
      <w:i/>
      <w:iCs/>
      <w:sz w:val="21"/>
      <w:szCs w:val="21"/>
    </w:rPr>
  </w:style>
  <w:style w:type="paragraph" w:styleId="a6">
    <w:name w:val="No Spacing"/>
    <w:uiPriority w:val="1"/>
    <w:qFormat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8">
    <w:name w:val="Заголовок Знак"/>
    <w:basedOn w:val="a0"/>
    <w:link w:val="a7"/>
    <w:uiPriority w:val="10"/>
    <w:rPr>
      <w:sz w:val="48"/>
      <w:szCs w:val="48"/>
    </w:rPr>
  </w:style>
  <w:style w:type="paragraph" w:styleId="a9">
    <w:name w:val="Subtitle"/>
    <w:basedOn w:val="a"/>
    <w:next w:val="a"/>
    <w:link w:val="aa"/>
    <w:uiPriority w:val="11"/>
    <w:qFormat/>
    <w:pPr>
      <w:spacing w:before="200"/>
    </w:pPr>
    <w:rPr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link w:val="ab"/>
    <w:uiPriority w:val="30"/>
    <w:rPr>
      <w:i/>
    </w:rPr>
  </w:style>
  <w:style w:type="character" w:customStyle="1" w:styleId="10">
    <w:name w:val="Верхний колонтитул Знак1"/>
    <w:basedOn w:val="a0"/>
    <w:link w:val="a3"/>
    <w:uiPriority w:val="99"/>
  </w:style>
  <w:style w:type="character" w:customStyle="1" w:styleId="FooterChar">
    <w:name w:val="Footer Char"/>
    <w:basedOn w:val="a0"/>
    <w:uiPriority w:val="99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11">
    <w:name w:val="Нижний колонтитул Знак1"/>
    <w:link w:val="a4"/>
    <w:uiPriority w:val="99"/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character" w:customStyle="1" w:styleId="tlid-translation">
    <w:name w:val="tlid-translation"/>
    <w:basedOn w:val="a0"/>
  </w:style>
  <w:style w:type="paragraph" w:styleId="af2">
    <w:name w:val="Balloon Text"/>
    <w:basedOn w:val="a"/>
    <w:link w:val="af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Pr>
      <w:rFonts w:ascii="Tahoma" w:hAnsi="Tahoma" w:cs="Tahoma"/>
      <w:sz w:val="16"/>
      <w:szCs w:val="16"/>
    </w:rPr>
  </w:style>
  <w:style w:type="character" w:styleId="af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customStyle="1" w:styleId="14">
    <w:name w:val="Верхний колонтитул1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14"/>
    <w:uiPriority w:val="99"/>
  </w:style>
  <w:style w:type="paragraph" w:customStyle="1" w:styleId="15">
    <w:name w:val="Нижний колонтитул1"/>
    <w:basedOn w:val="a"/>
    <w:link w:val="af7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15"/>
    <w:uiPriority w:val="99"/>
    <w:semiHidden/>
  </w:style>
  <w:style w:type="character" w:customStyle="1" w:styleId="30">
    <w:name w:val="Заголовок 3 Знак"/>
    <w:basedOn w:val="a0"/>
    <w:link w:val="3"/>
    <w:uiPriority w:val="9"/>
    <w:semiHidden/>
    <w:rPr>
      <w:rFonts w:ascii="Cambria" w:eastAsia="Cambria" w:hAnsi="Cambria" w:cs="Cambria"/>
      <w:b/>
      <w:bCs/>
      <w:color w:val="4F81BD" w:themeColor="accent1"/>
    </w:rPr>
  </w:style>
  <w:style w:type="character" w:styleId="af8">
    <w:name w:val="FollowedHyperlink"/>
    <w:basedOn w:val="a0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cao.int/EURNAT/Pages/meetings.aspx" TargetMode="External" /><Relationship Id="rId18" Type="http://schemas.openxmlformats.org/officeDocument/2006/relationships/image" Target="media/image3.emf" /><Relationship Id="rId26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openxmlformats.org/officeDocument/2006/relationships/image" Target="media/image40.emf" /><Relationship Id="rId7" Type="http://schemas.openxmlformats.org/officeDocument/2006/relationships/image" Target="media/image1.emf" /><Relationship Id="rId12" Type="http://schemas.openxmlformats.org/officeDocument/2006/relationships/hyperlink" Target="https://www.icao.int/EURNAT/Pages/EUR-and-NAT-Document.aspx?RootFolder=%2FEURNAT%2FEUR%20and%20NAT%20Documents%2FCOVID%2019%20Updates%2D%20CAPSCA%20EUR" TargetMode="External" /><Relationship Id="rId17" Type="http://schemas.openxmlformats.org/officeDocument/2006/relationships/image" Target="media/image20.emf" /><Relationship Id="rId25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2.emf" /><Relationship Id="rId20" Type="http://schemas.openxmlformats.org/officeDocument/2006/relationships/image" Target="media/image4.emf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www.icao.int/eurnat/other%20meetings%20seminars%20and%20workshops/forms/allitems.aspx?RootFolder=%2FEURNAT%2FOther%20Meetings%20Seminars%20and%20Workshops%2F2020%20ICAO%20EUR%2DNAT%20SUSTAINABLE%20FUNDING%20OF%20STATES%20CIVIL%20AVIATION%20AUTHORITIES%20WORKSHOP%2F2020%20ICAO%20EUR%2DNAT%20SUSTAINABLE%20FUNDING%20OF%20STATES%20CIVIL%20AVIATION%20AUTHORITIES%20WORKSHOP&amp;FolderCTID=0x012000DAF95319EADD9946B510C5D7B595637D00970D34309E30C94682E395DA86E79AD1&amp;View=%7BA22F144F%2DAE49%2D4BB1%2DA18E%2D7E0DFF8FDF1B%7D" TargetMode="External" /><Relationship Id="rId24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hyperlink" Target="https://www.icao.int/covid/Pages/default.aspx" TargetMode="External" /><Relationship Id="rId23" Type="http://schemas.openxmlformats.org/officeDocument/2006/relationships/image" Target="media/image50.emf" /><Relationship Id="rId10" Type="http://schemas.openxmlformats.org/officeDocument/2006/relationships/hyperlink" Target="https://www.icao.int/EURNAT/Pages/Other-Meetings.aspx?RootFolder=%2FEURNAT%2FOther%20Meetings%20Seminars%20and%20Workshops%2F2020%20ICAO%20EUR%2DNAT%20SUSTAINABLE%20FUNDING%20OF%20STATES%20CIVIL%20AVIATION%20AUTHORITIES%20WORKSHOP&amp;FolderCTID=0x012000DAF95319EADD9946B510C5D7B595637D00970D34309E30C94682E395DA86E79AD1&amp;View=%7BA016246C%2D36E2%2D4CE7%2DA6BC%2D04EF727A9F49%7D" TargetMode="External" /><Relationship Id="rId19" Type="http://schemas.openxmlformats.org/officeDocument/2006/relationships/image" Target="media/image30.emf" /><Relationship Id="rId4" Type="http://schemas.openxmlformats.org/officeDocument/2006/relationships/webSettings" Target="webSettings.xml" /><Relationship Id="rId9" Type="http://schemas.openxmlformats.org/officeDocument/2006/relationships/image" Target="media/image10.emf" /><Relationship Id="rId14" Type="http://schemas.openxmlformats.org/officeDocument/2006/relationships/hyperlink" Target="https://www.icao.int/Meetings/webinar-series/Lists/WebinarSeries/AllItems.aspx" TargetMode="External" /><Relationship Id="rId22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1734</Words>
  <Characters>9887</Characters>
  <Application>Microsoft Office Word</Application>
  <DocSecurity>0</DocSecurity>
  <Lines>82</Lines>
  <Paragraphs>23</Paragraphs>
  <ScaleCrop>false</ScaleCrop>
  <Company>Hewlett-Packard Company</Company>
  <LinksUpToDate>false</LinksUpToDate>
  <CharactersWithSpaces>11598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Rudaya_EA</dc:creator>
  <cp:lastModifiedBy>e.mikheeva1908@gmail.com</cp:lastModifiedBy>
  <cp:revision>2</cp:revision>
  <dcterms:created xsi:type="dcterms:W3CDTF">2020-10-17T15:58:00Z</dcterms:created>
  <dcterms:modified xsi:type="dcterms:W3CDTF">2020-10-17T15:58:00Z</dcterms:modified>
</cp:coreProperties>
</file>